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end="2" w:hanging="0"/>
        <w:jc w:val="both"/>
        <w:rPr/>
      </w:pPr>
      <w:r>
        <w:rPr>
          <w:rFonts w:cs="Times New Roman" w:ascii="Times New Roman" w:hAnsi="Times New Roman"/>
          <w:b/>
          <w:bCs/>
          <w:sz w:val="28"/>
          <w:lang w:val="de-DE"/>
        </w:rPr>
        <w:t>3GPP TSG RAN WG1 #120</w:t>
        <w:tab/>
        <w:tab/>
        <w:tab/>
        <w:t>R1-</w:t>
      </w:r>
      <w:r>
        <w:rPr>
          <w:rFonts w:eastAsia="Noto Serif CJK SC" w:cs="Times New Roman" w:ascii="Times New Roman" w:hAnsi="Times New Roman"/>
          <w:b/>
          <w:bCs/>
          <w:color w:val="auto"/>
          <w:kern w:val="2"/>
          <w:sz w:val="28"/>
          <w:szCs w:val="24"/>
          <w:lang w:val="de-DE" w:eastAsia="zh-CN" w:bidi="hi-IN"/>
        </w:rPr>
        <w:t>2501280</w:t>
      </w:r>
    </w:p>
    <w:p>
      <w:pPr>
        <w:pStyle w:val="Normal"/>
        <w:tabs>
          <w:tab w:val="clear" w:pos="709"/>
          <w:tab w:val="center" w:pos="4536" w:leader="none"/>
          <w:tab w:val="right" w:pos="7938" w:leader="none"/>
          <w:tab w:val="right" w:pos="9639" w:leader="none"/>
        </w:tabs>
        <w:ind w:end="2" w:hanging="0"/>
        <w:jc w:val="both"/>
        <w:rPr/>
      </w:pPr>
      <w:r>
        <w:rPr>
          <w:rFonts w:eastAsia="MS Mincho;ＭＳ 明朝" w:cs="Arial" w:ascii="Times" w:hAnsi="Times"/>
          <w:b/>
          <w:bCs/>
          <w:sz w:val="28"/>
          <w:lang w:val="en-US" w:eastAsia="ja-JP"/>
        </w:rPr>
        <w:t xml:space="preserve">Athens, Greece, </w:t>
      </w:r>
      <w:r>
        <w:rPr>
          <w:rFonts w:eastAsia="Malgun Gothic" w:cs="Malgun Gothic" w:ascii="Times New Roman" w:hAnsi="Times New Roman"/>
          <w:b/>
          <w:bCs/>
          <w:sz w:val="28"/>
          <w:lang w:val="en-US" w:eastAsia="ko-KR"/>
        </w:rPr>
        <w:t>February</w:t>
      </w:r>
      <w:r>
        <w:rPr>
          <w:rFonts w:eastAsia="Malgun Gothic" w:cs="Malgun Gothic" w:ascii="Times" w:hAnsi="Times"/>
          <w:b/>
          <w:bCs/>
          <w:sz w:val="28"/>
          <w:lang w:val="en-US" w:eastAsia="ko-KR"/>
        </w:rPr>
        <w:t xml:space="preserve"> </w:t>
      </w:r>
      <w:r>
        <w:rPr>
          <w:rFonts w:eastAsia="MS Mincho;ＭＳ 明朝" w:cs="Arial" w:ascii="Times" w:hAnsi="Times"/>
          <w:b/>
          <w:bCs/>
          <w:sz w:val="28"/>
          <w:lang w:val="en-US" w:eastAsia="ja-JP"/>
        </w:rPr>
        <w:t xml:space="preserve">17 </w:t>
      </w:r>
      <w:r>
        <w:rPr>
          <w:rFonts w:cs="Arial" w:ascii="Times" w:hAnsi="Times"/>
          <w:b/>
          <w:bCs/>
          <w:sz w:val="28"/>
          <w:lang w:val="en-US"/>
        </w:rPr>
        <w:t>– 21</w:t>
      </w:r>
      <w:r>
        <w:rPr>
          <w:rFonts w:eastAsia="MS Mincho;ＭＳ 明朝" w:cs="Arial" w:ascii="Times" w:hAnsi="Times"/>
          <w:b/>
          <w:bCs/>
          <w:sz w:val="28"/>
          <w:lang w:val="en-US" w:eastAsia="ja-JP"/>
        </w:rPr>
        <w:t>, 2025</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Arial" w:hAnsi="Arial" w:eastAsia="MS Mincho" w:cs="Arial"/>
          <w:b/>
          <w:b/>
          <w:bCs/>
          <w:sz w:val="28"/>
          <w:lang w:eastAsia="ja-JP"/>
        </w:rPr>
      </w:pPr>
      <w:r>
        <w:rPr>
          <w:rFonts w:eastAsia="MS Mincho" w:cs="Arial" w:ascii="Arial" w:hAnsi="Arial"/>
          <w:b/>
          <w:bCs/>
          <w:sz w:val="28"/>
          <w:lang w:eastAsia="ja-JP"/>
        </w:rPr>
      </w:r>
    </w:p>
    <w:p>
      <w:pPr>
        <w:pStyle w:val="Normal"/>
        <w:tabs>
          <w:tab w:val="clear" w:pos="709"/>
          <w:tab w:val="left" w:pos="1985" w:leader="none"/>
        </w:tabs>
        <w:jc w:val="both"/>
        <w:rPr/>
      </w:pPr>
      <w:r>
        <w:rPr>
          <w:rFonts w:cs="Times New Roman" w:ascii="Times New Roman" w:hAnsi="Times New Roman"/>
          <w:b/>
        </w:rPr>
        <w:t>Agenda item:</w:t>
      </w:r>
      <w:r>
        <w:rPr>
          <w:rFonts w:cs="Times New Roman" w:ascii="Times New Roman" w:hAnsi="Times New Roman"/>
        </w:rPr>
        <w:tab/>
        <w:t>9.11.1</w:t>
      </w:r>
    </w:p>
    <w:p>
      <w:pPr>
        <w:pStyle w:val="Normal"/>
        <w:tabs>
          <w:tab w:val="clear" w:pos="709"/>
          <w:tab w:val="left" w:pos="1985" w:leader="none"/>
        </w:tabs>
        <w:jc w:val="both"/>
        <w:rPr/>
      </w:pPr>
      <w:r>
        <w:rPr>
          <w:rFonts w:cs="Times New Roman" w:ascii="Times New Roman" w:hAnsi="Times New Roman"/>
          <w:b/>
        </w:rPr>
        <w:t xml:space="preserve">Source: </w:t>
        <w:tab/>
      </w:r>
      <w:r>
        <w:rPr>
          <w:rFonts w:cs="Times New Roman" w:ascii="Times New Roman" w:hAnsi="Times New Roman"/>
        </w:rPr>
        <w:t>CEWiT</w:t>
      </w:r>
    </w:p>
    <w:p>
      <w:pPr>
        <w:pStyle w:val="Normal"/>
        <w:ind w:start="1988" w:hanging="1988"/>
        <w:jc w:val="both"/>
        <w:rPr/>
      </w:pPr>
      <w:r>
        <w:rPr>
          <w:rFonts w:cs="Times New Roman" w:ascii="Times New Roman" w:hAnsi="Times New Roman"/>
          <w:b/>
        </w:rPr>
        <w:t>Title:</w:t>
      </w:r>
      <w:r>
        <w:rPr>
          <w:rFonts w:cs="Times New Roman" w:ascii="Times New Roman" w:hAnsi="Times New Roman"/>
        </w:rPr>
        <w:t xml:space="preserve"> </w:t>
      </w:r>
      <w:r>
        <w:rPr>
          <w:rFonts w:cs="Times New Roman" w:ascii="Times New Roman" w:hAnsi="Times New Roman"/>
          <w:sz w:val="22"/>
        </w:rPr>
        <w:tab/>
        <w:t xml:space="preserve">Discussion on </w:t>
      </w:r>
      <w:r>
        <w:rPr>
          <w:rFonts w:cs="Times New Roman" w:ascii="Times New Roman" w:hAnsi="Times New Roman"/>
        </w:rPr>
        <w:t>Downlink Coverage Enhancements for NR NTN</w:t>
      </w:r>
    </w:p>
    <w:p>
      <w:pPr>
        <w:pStyle w:val="Normal"/>
        <w:tabs>
          <w:tab w:val="clear" w:pos="709"/>
          <w:tab w:val="left" w:pos="1985" w:leader="none"/>
        </w:tabs>
        <w:ind w:end="-441" w:hanging="0"/>
        <w:jc w:val="both"/>
        <w:rPr/>
      </w:pPr>
      <w:r>
        <w:rPr>
          <w:rFonts w:cs="Times New Roman" w:ascii="Times New Roman" w:hAnsi="Times New Roman"/>
          <w:b/>
        </w:rPr>
        <w:t>Document for:</w:t>
      </w:r>
      <w:r>
        <w:rPr>
          <w:rFonts w:cs="Times New Roman" w:ascii="Times New Roman" w:hAnsi="Times New Roman"/>
        </w:rPr>
        <w:tab/>
      </w:r>
      <w:bookmarkStart w:id="0" w:name="DocumentFor"/>
      <w:bookmarkEnd w:id="0"/>
      <w:r>
        <w:rPr>
          <w:rFonts w:cs="Times New Roman" w:ascii="Times New Roman" w:hAnsi="Times New Roman"/>
        </w:rPr>
        <w:t>Discussion and Decision</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Introduction</w:t>
      </w:r>
    </w:p>
    <w:p>
      <w:pPr>
        <w:pStyle w:val="Normal"/>
        <w:tabs>
          <w:tab w:val="clear" w:pos="709"/>
          <w:tab w:val="left" w:pos="1985" w:leader="none"/>
        </w:tabs>
        <w:ind w:end="8" w:hanging="0"/>
        <w:jc w:val="both"/>
        <w:rPr/>
      </w:pPr>
      <w:r>
        <w:rPr>
          <w:rFonts w:cs="Times New Roman" w:ascii="Times New Roman" w:hAnsi="Times New Roman"/>
        </w:rPr>
        <w:t xml:space="preserve">In RAN#102 meeting, a new Work Item on </w:t>
      </w:r>
      <w:r>
        <w:rPr>
          <w:rFonts w:eastAsia="Batang;바탕" w:cs="Times New Roman" w:ascii="Times New Roman" w:hAnsi="Times New Roman"/>
        </w:rPr>
        <w:t>Non-Terrestrial Networks (NTN) for NR Phase 3</w:t>
      </w:r>
      <w:r>
        <w:rPr>
          <w:rFonts w:cs="Times New Roman" w:ascii="Times New Roman" w:hAnsi="Times New Roman"/>
        </w:rPr>
        <w:t xml:space="preserve"> was approved [1]. Multiple RAN1 related objectives has been discussed in RAN #102. The RAN #102 WID has been revised in RAN #106 [5], and the objectives are listed below for the enhancements in downlink coverage for NR NTN.</w:t>
      </w:r>
    </w:p>
    <w:p>
      <w:pPr>
        <w:pStyle w:val="Normal"/>
        <w:tabs>
          <w:tab w:val="clear" w:pos="709"/>
          <w:tab w:val="left" w:pos="1985" w:leader="none"/>
        </w:tabs>
        <w:ind w:end="8" w:hanging="0"/>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eastAsia="Batang" w:cs="Times New Roman"/>
        </w:rPr>
      </w:pPr>
      <w:r>
        <w:rPr>
          <w:rFonts w:eastAsia="Batang" w:cs="Times New Roman" w:ascii="Times New Roman" w:hAnsi="Times New Roman"/>
        </w:rPr>
        <w:t>Detailed objectives of downlink coverage enhancements for NR NTN include:</w:t>
      </w:r>
    </w:p>
    <w:tbl>
      <w:tblPr>
        <w:tblW w:w="9061" w:type="dxa"/>
        <w:jc w:val="center"/>
        <w:tblInd w:w="0" w:type="dxa"/>
        <w:tblCellMar>
          <w:top w:w="0" w:type="dxa"/>
          <w:start w:w="108" w:type="dxa"/>
          <w:bottom w:w="0" w:type="dxa"/>
          <w:end w:w="108" w:type="dxa"/>
        </w:tblCellMar>
        <w:tblLook w:val="04a0" w:noHBand="0" w:noVBand="1" w:firstColumn="1" w:lastRow="0" w:lastColumn="0" w:firstRow="1"/>
      </w:tblPr>
      <w:tblGrid>
        <w:gridCol w:w="9061"/>
      </w:tblGrid>
      <w:tr>
        <w:trPr/>
        <w:tc>
          <w:tcPr>
            <w:tcW w:w="9061" w:type="dxa"/>
            <w:tcBorders>
              <w:top w:val="single" w:sz="4" w:space="0" w:color="000000"/>
              <w:start w:val="single" w:sz="4" w:space="0" w:color="000000"/>
              <w:bottom w:val="single" w:sz="4" w:space="0" w:color="000000"/>
              <w:end w:val="single" w:sz="4" w:space="0" w:color="000000"/>
            </w:tcBorders>
          </w:tcPr>
          <w:p>
            <w:pPr>
              <w:pStyle w:val="Normal"/>
              <w:spacing w:lineRule="auto" w:line="276"/>
              <w:rPr/>
            </w:pPr>
            <w:r>
              <w:rPr>
                <w:rFonts w:eastAsia="Calibri"/>
                <w:lang w:val="en-US" w:eastAsia="ko-KR"/>
              </w:rPr>
              <w:t>Specify</w:t>
            </w:r>
            <w:bookmarkStart w:id="1" w:name="_Hlk153196886"/>
            <w:r>
              <w:rPr>
                <w:rFonts w:eastAsia="Calibri"/>
                <w:lang w:val="en-US" w:eastAsia="ko-KR"/>
              </w:rPr>
              <w:t xml:space="preserve"> </w:t>
            </w:r>
            <w:bookmarkEnd w:id="1"/>
            <w:r>
              <w:rPr>
                <w:rFonts w:eastAsia="Calibri"/>
                <w:lang w:val="en-US" w:eastAsia="ko-KR"/>
              </w:rPr>
              <w:t>downlink coverage enhancements targeting support for additional reference satellite payload parameters covering both GSO and NGSO constellations operating in FR1-NTN or FR2-NTN [RAN1, RAN2, RAN4]</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Paragraphedeliste"/>
              <w:widowControl w:val="false"/>
              <w:numPr>
                <w:ilvl w:val="0"/>
                <w:numId w:val="4"/>
              </w:numPr>
              <w:tabs>
                <w:tab w:val="clear" w:pos="709"/>
                <w:tab w:val="left" w:pos="0" w:leader="none"/>
              </w:tabs>
              <w:spacing w:before="0" w:after="0"/>
              <w:contextualSpacing/>
              <w:jc w:val="both"/>
              <w:rPr>
                <w:rFonts w:ascii="Times New Roman" w:hAnsi="Times New Roman" w:cs="Times New Roman"/>
                <w:sz w:val="20"/>
                <w:szCs w:val="20"/>
              </w:rPr>
            </w:pPr>
            <w:r>
              <w:rPr>
                <w:rFonts w:cs="Times New Roman"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pPr>
              <w:pStyle w:val="Paragraphedeliste"/>
              <w:widowControl w:val="false"/>
              <w:numPr>
                <w:ilvl w:val="1"/>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Link level enhancements are to be specified for the following channels:</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PDCCH at least for CSS (except for Type-3) via PDCCH repetition</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PDSCH with Msg4 via PDSCH repetition</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PDSCH with SIB1 via 2 PDSCH repetitions within 20 ms duration</w:t>
            </w:r>
          </w:p>
          <w:p>
            <w:pPr>
              <w:pStyle w:val="Paragraphedeliste"/>
              <w:widowControl w:val="false"/>
              <w:numPr>
                <w:ilvl w:val="1"/>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System-level enhancements are to be specified for the following:</w:t>
            </w:r>
          </w:p>
          <w:p>
            <w:pPr>
              <w:pStyle w:val="Paragraphedeliste"/>
              <w:numPr>
                <w:ilvl w:val="2"/>
                <w:numId w:val="4"/>
              </w:numPr>
              <w:snapToGrid w:val="false"/>
              <w:spacing w:lineRule="auto" w:line="240" w:before="0" w:after="120"/>
              <w:contextualSpacing/>
              <w:jc w:val="both"/>
              <w:rPr>
                <w:rFonts w:ascii="Times New Roman" w:hAnsi="Times New Roman" w:cs="Times New Roman"/>
                <w:sz w:val="20"/>
              </w:rPr>
            </w:pPr>
            <w:r>
              <w:rPr>
                <w:rFonts w:cs="Times New Roman" w:ascii="Times New Roman" w:hAnsi="Times New Roman"/>
                <w:sz w:val="20"/>
              </w:rPr>
              <w:t>Support of extended periodicity of the half frames with SS/PBCH blocks assumed by UE during initial access.</w:t>
            </w:r>
          </w:p>
          <w:p>
            <w:pPr>
              <w:pStyle w:val="Paragraphedeliste"/>
              <w:numPr>
                <w:ilvl w:val="3"/>
                <w:numId w:val="4"/>
              </w:numPr>
              <w:snapToGrid w:val="false"/>
              <w:spacing w:lineRule="auto" w:line="240" w:before="0" w:after="120"/>
              <w:contextualSpacing/>
              <w:jc w:val="both"/>
              <w:rPr>
                <w:rFonts w:ascii="Times New Roman" w:hAnsi="Times New Roman" w:cs="Times New Roman"/>
                <w:sz w:val="20"/>
              </w:rPr>
            </w:pPr>
            <w:r>
              <w:rPr>
                <w:rFonts w:cs="Times New Roman" w:ascii="Times New Roman" w:hAnsi="Times New Roman"/>
                <w:sz w:val="20"/>
              </w:rPr>
              <w:t>The maximum of the additional default value (apart from the existing 20ms value) is 160 ms</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Notes for this objective:</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SSB channel enhancement other than SSB periodicity extension is not considered</w:t>
            </w:r>
          </w:p>
          <w:p>
            <w:pPr>
              <w:pStyle w:val="Paragraphedeliste"/>
              <w:widowControl w:val="false"/>
              <w:numPr>
                <w:ilvl w:val="2"/>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RAN1 should consider issues such as UE’s cell search complexity and impact to initial cell selection, latency and success rate, for the above extension</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The SSB periodicity enhancements potentially defined in this WID only apply to NTN operation</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Antenna gain of UE shall be assumed to be -5.5dBi in case of smartphone in FR1-NTN, the UE is assumed to be a full duplex UE, and at least 2Rx are considered at the UE</w:t>
            </w:r>
          </w:p>
          <w:p>
            <w:pPr>
              <w:pStyle w:val="Paragraphedeliste"/>
              <w:widowControl w:val="false"/>
              <w:numPr>
                <w:ilvl w:val="1"/>
                <w:numId w:val="4"/>
              </w:numPr>
              <w:spacing w:before="0" w:after="0"/>
              <w:contextualSpacing/>
              <w:jc w:val="both"/>
              <w:rPr>
                <w:rFonts w:ascii="Times New Roman" w:hAnsi="Times New Roman" w:eastAsia="Batang" w:cs="Times New Roman"/>
                <w:sz w:val="20"/>
                <w:szCs w:val="20"/>
                <w:lang w:eastAsia="ko-KR"/>
              </w:rPr>
            </w:pPr>
            <w:r>
              <w:rPr>
                <w:rFonts w:eastAsia="Batang" w:cs="Times New Roman" w:ascii="Times New Roman" w:hAnsi="Times New Roman"/>
                <w:sz w:val="20"/>
                <w:szCs w:val="20"/>
                <w:lang w:eastAsia="ko-KR"/>
              </w:rPr>
              <w:t>NGSO to be considered in priority: LEO Set-1 @ 600 km</w:t>
            </w:r>
          </w:p>
        </w:tc>
      </w:tr>
    </w:tbl>
    <w:p>
      <w:pPr>
        <w:pStyle w:val="TextBody"/>
        <w:pBdr>
          <w:bottom w:val="single" w:sz="4" w:space="1" w:color="000000"/>
        </w:pBdr>
        <w:tabs>
          <w:tab w:val="clear" w:pos="709"/>
          <w:tab w:val="left" w:pos="1985" w:leader="none"/>
          <w:tab w:val="left" w:pos="8196" w:leader="none"/>
        </w:tabs>
        <w:ind w:end="8" w:hanging="0"/>
        <w:jc w:val="both"/>
        <w:rPr/>
      </w:pPr>
      <w:r>
        <w:rPr>
          <w:rFonts w:eastAsia="Batang" w:cs="Times New Roman" w:ascii="Times New Roman" w:hAnsi="Times New Roman"/>
        </w:rPr>
        <w:t xml:space="preserve">In our previous contribution, R1-2408937, we proposed enhancements to improve downlink coverage at both the link level and system level. In this contribution, we provide the physical layer procedure for the PDCCH repetition and specifying the changes corresponding to the system level enhancements with extended periodicity. </w:t>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Discussion</w:t>
      </w:r>
    </w:p>
    <w:p>
      <w:pPr>
        <w:pStyle w:val="Normal"/>
        <w:jc w:val="both"/>
        <w:rPr/>
      </w:pPr>
      <w:r>
        <w:rPr>
          <w:rFonts w:cs="Times New Roman" w:ascii="Times New Roman" w:hAnsi="Times New Roman"/>
        </w:rPr>
        <w:t xml:space="preserve">The following agreements are made in RAN1#119 [4] for DL coverage enhancement at both system level and link level. </w:t>
      </w:r>
    </w:p>
    <w:p>
      <w:pPr>
        <w:pStyle w:val="Normal"/>
        <w:jc w:val="both"/>
        <w:rPr>
          <w:rFonts w:ascii="Times New Roman" w:hAnsi="Times New Roman" w:cs="Times New Roman"/>
          <w:highlight w:val="green"/>
        </w:rPr>
      </w:pPr>
      <w:r>
        <w:rPr>
          <w:rFonts w:cs="Times New Roman" w:ascii="Times New Roman" w:hAnsi="Times New Roman"/>
          <w:highlight w:val="green"/>
        </w:rPr>
      </w:r>
    </w:p>
    <w:p>
      <w:pPr>
        <w:pStyle w:val="Normal"/>
        <w:pBdr>
          <w:bottom w:val="single" w:sz="4" w:space="1" w:color="000000"/>
        </w:pBdr>
        <w:jc w:val="both"/>
        <w:rPr>
          <w:rFonts w:ascii="Times New Roman" w:hAnsi="Times New Roman"/>
          <w:b/>
          <w:b/>
          <w:szCs w:val="20"/>
        </w:rPr>
      </w:pPr>
      <w:r>
        <w:rPr>
          <w:rFonts w:ascii="Times New Roman" w:hAnsi="Times New Roman"/>
          <w:b/>
          <w:szCs w:val="20"/>
        </w:rPr>
      </w:r>
    </w:p>
    <w:p>
      <w:pPr>
        <w:pStyle w:val="Normal"/>
        <w:rPr>
          <w:bCs/>
          <w:szCs w:val="20"/>
          <w:highlight w:val="green"/>
        </w:rPr>
      </w:pPr>
      <w:r>
        <w:rPr>
          <w:bCs/>
          <w:szCs w:val="20"/>
          <w:highlight w:val="green"/>
        </w:rPr>
        <w:t>Agreement</w:t>
      </w:r>
    </w:p>
    <w:p>
      <w:pPr>
        <w:pStyle w:val="Normal"/>
        <w:rPr>
          <w:bCs/>
          <w:szCs w:val="20"/>
        </w:rPr>
      </w:pPr>
      <w:r>
        <w:rPr>
          <w:bCs/>
          <w:szCs w:val="20"/>
        </w:rPr>
        <w:t>For PDSCH with Msg4 Link level enhancement:</w:t>
      </w:r>
    </w:p>
    <w:p>
      <w:pPr>
        <w:pStyle w:val="Normal"/>
        <w:numPr>
          <w:ilvl w:val="0"/>
          <w:numId w:val="6"/>
        </w:numPr>
        <w:rPr>
          <w:bCs/>
          <w:szCs w:val="20"/>
        </w:rPr>
      </w:pPr>
      <w:r>
        <w:rPr>
          <w:bCs/>
          <w:szCs w:val="20"/>
        </w:rPr>
        <w:t>Support PDSCH repetition</w:t>
      </w:r>
    </w:p>
    <w:p>
      <w:pPr>
        <w:pStyle w:val="Normal"/>
        <w:numPr>
          <w:ilvl w:val="1"/>
          <w:numId w:val="6"/>
        </w:numPr>
        <w:rPr/>
      </w:pPr>
      <w:r>
        <w:rPr>
          <w:bCs/>
        </w:rPr>
        <w:t xml:space="preserve">FFS: signalling design including </w:t>
      </w:r>
      <w:r>
        <w:rPr>
          <w:bCs/>
          <w:szCs w:val="20"/>
        </w:rPr>
        <w:t xml:space="preserve">number of </w:t>
      </w:r>
      <w:r>
        <w:rPr>
          <w:bCs/>
        </w:rPr>
        <w:t>repetitions</w:t>
      </w:r>
    </w:p>
    <w:p>
      <w:pPr>
        <w:pStyle w:val="Normal"/>
        <w:numPr>
          <w:ilvl w:val="1"/>
          <w:numId w:val="6"/>
        </w:numPr>
        <w:rPr>
          <w:bCs/>
        </w:rPr>
      </w:pPr>
      <w:r>
        <w:rPr>
          <w:bCs/>
        </w:rPr>
        <w:t>FFS: impact on UE capability</w:t>
      </w:r>
    </w:p>
    <w:p>
      <w:pPr>
        <w:pStyle w:val="Normal"/>
        <w:numPr>
          <w:ilvl w:val="0"/>
          <w:numId w:val="6"/>
        </w:numPr>
        <w:rPr>
          <w:bCs/>
        </w:rPr>
      </w:pPr>
      <w:r>
        <w:rPr>
          <w:bCs/>
        </w:rPr>
        <w:t>Note: the target coverage enhancement to bridge the gap with respect to single Msg4 transmission is 2.8 dB</w:t>
      </w:r>
    </w:p>
    <w:p>
      <w:pPr>
        <w:pStyle w:val="ListParagraph"/>
        <w:numPr>
          <w:ilvl w:val="0"/>
          <w:numId w:val="6"/>
        </w:numPr>
        <w:rPr>
          <w:rFonts w:ascii="Times New Roman" w:hAnsi="Times New Roman"/>
          <w:iCs/>
          <w:sz w:val="22"/>
          <w:szCs w:val="20"/>
          <w:highlight w:val="green"/>
          <w:lang w:eastAsia="ko-KR"/>
        </w:rPr>
      </w:pPr>
      <w:r>
        <w:rPr>
          <w:rFonts w:ascii="Times New Roman" w:hAnsi="Times New Roman"/>
          <w:iCs/>
          <w:sz w:val="22"/>
          <w:szCs w:val="20"/>
          <w:highlight w:val="green"/>
          <w:lang w:eastAsia="ko-KR"/>
        </w:rPr>
        <w:t>Focus on coverage enhancement for set 1-3 with a target CNR of -8 dB for NR NTN DL coverage enhancements at link level.</w:t>
      </w:r>
    </w:p>
    <w:p>
      <w:pPr>
        <w:pStyle w:val="ListParagraph"/>
        <w:rPr>
          <w:szCs w:val="20"/>
        </w:rPr>
      </w:pPr>
      <w:r>
        <w:rPr>
          <w:szCs w:val="20"/>
        </w:rPr>
      </w:r>
    </w:p>
    <w:p>
      <w:pPr>
        <w:pStyle w:val="ListParagraph"/>
        <w:rPr>
          <w:szCs w:val="20"/>
        </w:rPr>
      </w:pPr>
      <w:r>
        <w:rPr>
          <w:szCs w:val="20"/>
        </w:rPr>
      </w:r>
    </w:p>
    <w:p>
      <w:pPr>
        <w:pStyle w:val="Normal"/>
        <w:rPr>
          <w:rFonts w:cs="Times"/>
          <w:b/>
          <w:b/>
          <w:bCs/>
          <w:szCs w:val="20"/>
          <w:lang w:eastAsia="x-none"/>
        </w:rPr>
      </w:pPr>
      <w:r>
        <w:rPr>
          <w:rFonts w:cs="Times"/>
          <w:b/>
          <w:bCs/>
          <w:szCs w:val="20"/>
          <w:lang w:eastAsia="x-none"/>
        </w:rPr>
        <w:t>Observation</w:t>
      </w:r>
    </w:p>
    <w:p>
      <w:pPr>
        <w:pStyle w:val="Normal"/>
        <w:rPr>
          <w:rFonts w:cs="Times"/>
          <w:szCs w:val="20"/>
          <w:lang w:eastAsia="x-none"/>
        </w:rPr>
      </w:pPr>
      <w:r>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pPr>
        <w:pStyle w:val="Normal"/>
        <w:rPr>
          <w:rFonts w:cs="Times"/>
          <w:szCs w:val="20"/>
          <w:lang w:eastAsia="x-none"/>
        </w:rPr>
      </w:pPr>
      <w:r>
        <w:rPr>
          <w:rFonts w:cs="Times"/>
          <w:szCs w:val="20"/>
          <w:lang w:eastAsia="x-none"/>
        </w:rPr>
        <w:t>Legacy UEs (i.e. Rel-17 and Rel-18 UEs) are not expected to be able to camp on a cell with SS/PBCH blocks periodicity larger than 160 ms.</w:t>
      </w:r>
    </w:p>
    <w:p>
      <w:pPr>
        <w:pStyle w:val="Normal"/>
        <w:rPr>
          <w:rFonts w:cs="Times"/>
          <w:szCs w:val="20"/>
          <w:lang w:eastAsia="x-none"/>
        </w:rPr>
      </w:pPr>
      <w:r>
        <w:rPr>
          <w:rFonts w:cs="Times"/>
          <w:szCs w:val="20"/>
          <w:lang w:eastAsia="x-none"/>
        </w:rPr>
      </w:r>
    </w:p>
    <w:p>
      <w:pPr>
        <w:pStyle w:val="Normal"/>
        <w:rPr>
          <w:rFonts w:cs="Times"/>
          <w:bCs/>
          <w:szCs w:val="20"/>
          <w:highlight w:val="green"/>
        </w:rPr>
      </w:pPr>
      <w:r>
        <w:rPr>
          <w:rFonts w:cs="Times"/>
          <w:bCs/>
          <w:szCs w:val="20"/>
          <w:highlight w:val="green"/>
        </w:rPr>
        <w:t>Agreement</w:t>
      </w:r>
    </w:p>
    <w:p>
      <w:pPr>
        <w:pStyle w:val="Normal"/>
        <w:rPr>
          <w:rFonts w:cs="Times"/>
          <w:szCs w:val="20"/>
        </w:rPr>
      </w:pPr>
      <w:r>
        <w:rPr>
          <w:rFonts w:cs="Times"/>
          <w:szCs w:val="20"/>
        </w:rPr>
        <w:t>For link level enhancement of PDSCH with SIB1:</w:t>
      </w:r>
    </w:p>
    <w:p>
      <w:pPr>
        <w:pStyle w:val="Normal"/>
        <w:numPr>
          <w:ilvl w:val="0"/>
          <w:numId w:val="7"/>
        </w:numPr>
        <w:rPr>
          <w:rFonts w:cs="Times"/>
          <w:szCs w:val="20"/>
        </w:rPr>
      </w:pPr>
      <w:r>
        <w:rPr>
          <w:rFonts w:cs="Times"/>
          <w:szCs w:val="20"/>
        </w:rPr>
        <w:t>Support PDSCH repetitions within 20 ms duration</w:t>
      </w:r>
    </w:p>
    <w:p>
      <w:pPr>
        <w:pStyle w:val="Normal"/>
        <w:numPr>
          <w:ilvl w:val="1"/>
          <w:numId w:val="7"/>
        </w:numPr>
        <w:rPr/>
      </w:pPr>
      <w:r>
        <w:rPr>
          <w:rFonts w:cs="Times"/>
          <w:szCs w:val="20"/>
        </w:rPr>
        <w:t>The number of repetitions is fixed to 2</w:t>
      </w:r>
      <w:r>
        <w:rPr>
          <w:rFonts w:cs="Times"/>
          <w:color w:val="FF0000"/>
          <w:szCs w:val="20"/>
        </w:rPr>
        <w:t xml:space="preserve"> </w:t>
      </w:r>
      <w:r>
        <w:rPr>
          <w:rFonts w:cs="Times"/>
          <w:szCs w:val="20"/>
        </w:rPr>
        <w:t xml:space="preserve">repetitions </w:t>
      </w:r>
    </w:p>
    <w:p>
      <w:pPr>
        <w:pStyle w:val="Normal"/>
        <w:numPr>
          <w:ilvl w:val="1"/>
          <w:numId w:val="7"/>
        </w:numPr>
        <w:rPr>
          <w:rFonts w:cs="Times"/>
          <w:szCs w:val="20"/>
        </w:rPr>
      </w:pPr>
      <w:r>
        <w:rPr>
          <w:rFonts w:cs="Times"/>
          <w:szCs w:val="20"/>
        </w:rPr>
        <w:t>Further discuss the specification impact for at least the following:</w:t>
      </w:r>
    </w:p>
    <w:p>
      <w:pPr>
        <w:pStyle w:val="Normal"/>
        <w:numPr>
          <w:ilvl w:val="2"/>
          <w:numId w:val="7"/>
        </w:numPr>
        <w:rPr>
          <w:rFonts w:cs="Times"/>
          <w:szCs w:val="20"/>
        </w:rPr>
      </w:pPr>
      <w:r>
        <w:rPr>
          <w:rFonts w:cs="Times"/>
          <w:szCs w:val="20"/>
        </w:rPr>
        <w:t>Procedure and signaling (enabling repetitions, associated time resource determination, etc.)</w:t>
      </w:r>
    </w:p>
    <w:p>
      <w:pPr>
        <w:pStyle w:val="Normal"/>
        <w:numPr>
          <w:ilvl w:val="0"/>
          <w:numId w:val="7"/>
        </w:numPr>
        <w:rPr>
          <w:rFonts w:cs="Times"/>
          <w:szCs w:val="20"/>
        </w:rPr>
      </w:pPr>
      <w:r>
        <w:rPr>
          <w:rFonts w:cs="Times"/>
          <w:szCs w:val="20"/>
        </w:rPr>
        <w:t>Note 1: without the above PDSCH repetitions, the coverage gap is 2.2 dB to 4.6 dB depending on SIB1 size.</w:t>
      </w:r>
    </w:p>
    <w:p>
      <w:pPr>
        <w:pStyle w:val="Normal"/>
        <w:numPr>
          <w:ilvl w:val="0"/>
          <w:numId w:val="7"/>
        </w:numPr>
        <w:rPr>
          <w:rFonts w:cs="Times"/>
          <w:szCs w:val="20"/>
        </w:rPr>
      </w:pPr>
      <w:r>
        <w:rPr>
          <w:rFonts w:cs="Times"/>
          <w:szCs w:val="20"/>
        </w:rPr>
        <w:t>Note 2: Focus on coverage enhancement for set 1-3 with a target CNR of -8 dB for NR NTN DL coverage enhancements at link level.</w:t>
      </w:r>
    </w:p>
    <w:p>
      <w:pPr>
        <w:pStyle w:val="Normal"/>
        <w:numPr>
          <w:ilvl w:val="0"/>
          <w:numId w:val="7"/>
        </w:numPr>
        <w:ind w:hanging="0"/>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pPr>
        <w:pStyle w:val="Normal"/>
        <w:rPr>
          <w:rFonts w:cs="Times"/>
          <w:szCs w:val="20"/>
        </w:rPr>
      </w:pPr>
      <w:r>
        <w:rPr>
          <w:rFonts w:cs="Times"/>
          <w:szCs w:val="20"/>
        </w:rPr>
      </w:r>
    </w:p>
    <w:p>
      <w:pPr>
        <w:pStyle w:val="Normal"/>
        <w:rPr>
          <w:rFonts w:cs="Times"/>
          <w:bCs/>
          <w:szCs w:val="20"/>
          <w:highlight w:val="green"/>
        </w:rPr>
      </w:pPr>
      <w:r>
        <w:rPr>
          <w:rFonts w:cs="Times"/>
          <w:bCs/>
          <w:szCs w:val="20"/>
          <w:highlight w:val="green"/>
        </w:rPr>
        <w:t>Agreement</w:t>
      </w:r>
    </w:p>
    <w:p>
      <w:pPr>
        <w:pStyle w:val="Normal"/>
        <w:rPr>
          <w:rFonts w:cs="Times"/>
          <w:bCs/>
          <w:szCs w:val="20"/>
        </w:rPr>
      </w:pPr>
      <w:r>
        <w:rPr>
          <w:rFonts w:cs="Times"/>
          <w:bCs/>
          <w:szCs w:val="20"/>
        </w:rPr>
        <w:t>For PDCCH CSS (except Type-3) link level enhancements, support only PDCCH repetition for NTN.</w:t>
      </w:r>
    </w:p>
    <w:p>
      <w:pPr>
        <w:pStyle w:val="Normal"/>
        <w:numPr>
          <w:ilvl w:val="0"/>
          <w:numId w:val="5"/>
        </w:numPr>
        <w:ind w:hanging="0"/>
        <w:rPr>
          <w:rFonts w:ascii="Times New Roman" w:hAnsi="Times New Roman" w:cs="Times"/>
          <w:bCs/>
          <w:sz w:val="22"/>
          <w:szCs w:val="20"/>
          <w:highlight w:val="green"/>
        </w:rPr>
      </w:pPr>
      <w:r>
        <w:rPr>
          <w:rFonts w:cs="Times" w:ascii="Times New Roman" w:hAnsi="Times New Roman"/>
          <w:bCs/>
          <w:sz w:val="22"/>
          <w:szCs w:val="20"/>
          <w:highlight w:val="green"/>
        </w:rPr>
        <w:t>FFS: intra-slot and/or inter-slot</w:t>
      </w:r>
    </w:p>
    <w:p>
      <w:pPr>
        <w:pStyle w:val="ListParagraph"/>
        <w:jc w:val="both"/>
        <w:rPr>
          <w:rFonts w:ascii="Times New Roman" w:hAnsi="Times New Roman"/>
          <w:sz w:val="22"/>
          <w:szCs w:val="20"/>
        </w:rPr>
      </w:pPr>
      <w:r>
        <w:rPr>
          <w:rFonts w:ascii="Times New Roman" w:hAnsi="Times New Roman"/>
          <w:sz w:val="22"/>
          <w:szCs w:val="20"/>
        </w:rPr>
        <w:t>______________________________________________________________________________________</w:t>
      </w:r>
    </w:p>
    <w:p>
      <w:pPr>
        <w:pStyle w:val="ListParagraph"/>
        <w:jc w:val="both"/>
        <w:rPr>
          <w:rFonts w:ascii="Times New Roman" w:hAnsi="Times New Roman"/>
          <w:szCs w:val="20"/>
        </w:rPr>
      </w:pPr>
      <w:r>
        <w:rPr>
          <w:rFonts w:ascii="Times New Roman" w:hAnsi="Times New Roman"/>
          <w:szCs w:val="20"/>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Link level enhancement for the PDCCH Channel</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To reduce the coverage gap of PDCCH, PDCCH repetition at least for CSS has been agreed in RAN1 #119 [4] and Rel-19 NR-NTN WID was revised so as to proceed with the normative work in RAN#106 [5].</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b/>
          <w:b/>
          <w:bCs/>
          <w:i/>
          <w:i/>
        </w:rPr>
      </w:pPr>
      <w:r>
        <w:rPr>
          <w:rFonts w:cs="Times New Roman" w:ascii="Times New Roman" w:hAnsi="Times New Roman"/>
          <w:b/>
          <w:bCs/>
          <w:i/>
        </w:rPr>
        <w:t>PDCCH Repetitions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 xml:space="preserve">There is a coverage gap of 2dB, approximately, for the CNR of -8 dB. To address this coverage gap, </w:t>
      </w:r>
      <w:r>
        <w:rPr>
          <w:rStyle w:val="StrongEmphasis"/>
          <w:rFonts w:cs="Times New Roman" w:ascii="Times New Roman" w:hAnsi="Times New Roman"/>
          <w:b w:val="false"/>
          <w:bCs w:val="false"/>
        </w:rPr>
        <w:t>repetitions</w:t>
      </w:r>
      <w:r>
        <w:rPr>
          <w:rFonts w:cs="Times New Roman" w:ascii="Times New Roman" w:hAnsi="Times New Roman"/>
        </w:rPr>
        <w:t xml:space="preserve"> of the PDCCH, specifically for the </w:t>
      </w:r>
      <w:r>
        <w:rPr>
          <w:rStyle w:val="StrongEmphasis"/>
          <w:rFonts w:cs="Times New Roman" w:ascii="Times New Roman" w:hAnsi="Times New Roman"/>
          <w:b w:val="false"/>
          <w:bCs w:val="false"/>
        </w:rPr>
        <w:t>Common Search Space has been agreed in the previous meeting</w:t>
      </w:r>
      <w:r>
        <w:rPr>
          <w:rFonts w:cs="Times New Roman" w:ascii="Times New Roman" w:hAnsi="Times New Roman"/>
        </w:rPr>
        <w:t xml:space="preserve">. Repetitions involve transmitting the same control information multiple times, with same aggregation level. At least two repetitions can be considered for PDCCH CSS to reduce the coverage gap. On the other hand the number of reptitions can be decided based on the link quality or an elevation angle for NR NTN.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b/>
          <w:bCs/>
          <w:i/>
          <w:iCs/>
        </w:rPr>
        <w:t xml:space="preserve">Proposal 1: </w:t>
      </w:r>
      <w:r>
        <w:rPr>
          <w:rFonts w:cs="Times New Roman" w:ascii="Times New Roman" w:hAnsi="Times New Roman"/>
          <w:i/>
          <w:iCs/>
        </w:rPr>
        <w:t>At least two repetition can be considered to reduce the coverage gap for PDCCH at least for CSS.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pPr>
      <w:r>
        <w:rPr>
          <w:rFonts w:cs="Times New Roman" w:ascii="Times New Roman" w:hAnsi="Times New Roman"/>
        </w:rPr>
        <w:t xml:space="preserve">The PDCCH repetition can either be inter/intra slot. The dwell time decides about the duration in which the beam can be ON. The base station can schedule both CORESETS for PDCCH repetitions in the same slot such that it can effectively utilise the dwell time. And based on resource allocation from DCI after decoding the PDCCH, UE can successfully decode the PDSCH. Therefore, the base station can decide to do intra slot repetition over inter slot repetition which can minimize the latency.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pPr>
      <w:r>
        <w:rPr>
          <w:rFonts w:cs="Times New Roman" w:ascii="Times New Roman" w:hAnsi="Times New Roman"/>
          <w:b/>
          <w:bCs/>
          <w:i/>
          <w:iCs/>
          <w:lang w:eastAsia="ja-JP"/>
        </w:rPr>
        <w:t>Proposal 2:</w:t>
      </w:r>
      <w:r>
        <w:rPr>
          <w:rFonts w:cs="Times New Roman" w:ascii="Times New Roman" w:hAnsi="Times New Roman"/>
          <w:i/>
          <w:iCs/>
          <w:lang w:eastAsia="ja-JP"/>
        </w:rPr>
        <w:t xml:space="preserve"> Intra slot repetition can be considered for PDCCH repetition for the minimum latency.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TextBody"/>
        <w:tabs>
          <w:tab w:val="clear" w:pos="709"/>
          <w:tab w:val="left" w:pos="1985" w:leader="none"/>
        </w:tabs>
        <w:ind w:end="-441" w:hanging="0"/>
        <w:jc w:val="both"/>
        <w:rPr/>
      </w:pPr>
      <w:r>
        <w:rPr>
          <w:rStyle w:val="StrongEmphasis"/>
          <w:rFonts w:cs="Times New Roman" w:ascii="Times New Roman" w:hAnsi="Times New Roman"/>
          <w:b w:val="false"/>
          <w:bCs w:val="false"/>
        </w:rPr>
        <w:t>Type0-PDCCH CSS</w:t>
      </w:r>
      <w:r>
        <w:rPr>
          <w:rFonts w:cs="Times New Roman" w:ascii="Times New Roman" w:hAnsi="Times New Roman"/>
        </w:rPr>
        <w:t xml:space="preserve"> is used for decoding the </w:t>
      </w:r>
      <w:r>
        <w:rPr>
          <w:rStyle w:val="StrongEmphasis"/>
          <w:rFonts w:cs="Times New Roman" w:ascii="Times New Roman" w:hAnsi="Times New Roman"/>
          <w:b w:val="false"/>
          <w:bCs w:val="false"/>
        </w:rPr>
        <w:t>SIB1</w:t>
      </w:r>
      <w:r>
        <w:rPr>
          <w:rFonts w:cs="Times New Roman" w:ascii="Times New Roman" w:hAnsi="Times New Roman"/>
        </w:rPr>
        <w:t xml:space="preserve"> in 5G NR. It is part of the initial access procedure, where the UE acquires essential system information to connect to the network. </w:t>
      </w:r>
      <w:r>
        <w:rPr/>
        <w:t xml:space="preserve">The configuration of Type0-PDCCH CSS is critical because it determines how the UE locates and decodes the PDCCH carrying SIB1 scheduling information such as </w:t>
      </w:r>
      <w:r>
        <w:rPr>
          <w:rFonts w:cs="Times New Roman" w:ascii="Times New Roman" w:hAnsi="Times New Roman"/>
          <w:i/>
          <w:iCs/>
        </w:rPr>
        <w:t>controlresourcesetzero</w:t>
      </w:r>
      <w:r>
        <w:rPr>
          <w:rFonts w:cs="Times New Roman" w:ascii="Times New Roman" w:hAnsi="Times New Roman"/>
        </w:rPr>
        <w:t xml:space="preserve">, defines the time-frequency resources, and </w:t>
      </w:r>
      <w:r>
        <w:rPr>
          <w:rFonts w:cs="Times New Roman" w:ascii="Times New Roman" w:hAnsi="Times New Roman"/>
          <w:i/>
          <w:iCs/>
        </w:rPr>
        <w:t>searchspacezero</w:t>
      </w:r>
      <w:r>
        <w:rPr>
          <w:rFonts w:cs="Times New Roman" w:ascii="Times New Roman" w:hAnsi="Times New Roman"/>
        </w:rPr>
        <w:t>, defines the search space configuration for Type0-PDCCH CSS, including the monitoring occasions and the aggregation levels</w:t>
      </w:r>
      <w:r>
        <w:rPr/>
        <w:t xml:space="preserve">. The MIB contains a limited number of bits to convey essential information. There are </w:t>
      </w:r>
      <w:r>
        <w:rPr>
          <w:rStyle w:val="StrongEmphasis"/>
          <w:b w:val="false"/>
          <w:bCs w:val="false"/>
        </w:rPr>
        <w:t>reserved</w:t>
      </w:r>
      <w:r>
        <w:rPr/>
        <w:t xml:space="preserve"> bits for future use or optional configurations and can be used to indicate the number of repetitions. Though, in general, intra slot PDCCH repetitions are considered, it is recommended to consider inter slot PDCCH repetitions for </w:t>
      </w:r>
      <w:r>
        <w:rPr>
          <w:rStyle w:val="StrongEmphasis"/>
          <w:rFonts w:cs="Times New Roman" w:ascii="Times New Roman" w:hAnsi="Times New Roman"/>
          <w:b w:val="false"/>
          <w:bCs w:val="false"/>
        </w:rPr>
        <w:t>Type0-PDCCH CSS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3:</w:t>
      </w:r>
      <w:r>
        <w:rPr>
          <w:rFonts w:cs="Times New Roman" w:ascii="Times New Roman" w:hAnsi="Times New Roman"/>
          <w:i/>
          <w:iCs/>
          <w:lang w:eastAsia="ja-JP"/>
        </w:rPr>
        <w:t xml:space="preserve"> The number of repetitions for Type0-PDCCH can be shared with UE through MIB using a reserved bit.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4: </w:t>
      </w:r>
      <w:r>
        <w:rPr>
          <w:rFonts w:cs="Times New Roman" w:ascii="Times New Roman" w:hAnsi="Times New Roman"/>
          <w:i/>
          <w:iCs/>
          <w:lang w:eastAsia="ja-JP"/>
        </w:rPr>
        <w:t>The CORESETs for the two PDCCH repetition can be scheduled in the consecutive slots with same configuration for Type0-PDCCH.</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lang w:eastAsia="ja-JP"/>
        </w:rPr>
      </w:pPr>
      <w:r>
        <w:rPr>
          <w:rFonts w:cs="Times New Roman" w:ascii="Times New Roman" w:hAnsi="Times New Roman"/>
          <w:lang w:eastAsia="ja-JP"/>
        </w:rPr>
        <w:t xml:space="preserve">The UE uses </w:t>
      </w:r>
      <w:r>
        <w:rPr>
          <w:rFonts w:cs="Times New Roman" w:ascii="Times New Roman" w:hAnsi="Times New Roman"/>
          <w:i/>
          <w:iCs/>
          <w:lang w:eastAsia="ja-JP"/>
        </w:rPr>
        <w:t>searchspacelinkingID</w:t>
      </w:r>
      <w:r>
        <w:rPr>
          <w:rFonts w:cs="Times New Roman" w:ascii="Times New Roman" w:hAnsi="Times New Roman"/>
          <w:lang w:eastAsia="ja-JP"/>
        </w:rPr>
        <w:t xml:space="preserve"> to determine the relevant </w:t>
      </w:r>
      <w:r>
        <w:rPr>
          <w:rStyle w:val="StrongEmphasis"/>
          <w:rFonts w:cs="Times New Roman" w:ascii="Times New Roman" w:hAnsi="Times New Roman"/>
          <w:b w:val="false"/>
          <w:bCs w:val="false"/>
          <w:lang w:eastAsia="ja-JP"/>
        </w:rPr>
        <w:t>search space</w:t>
      </w:r>
      <w:r>
        <w:rPr>
          <w:rFonts w:cs="Times New Roman" w:ascii="Times New Roman" w:hAnsi="Times New Roman"/>
          <w:lang w:eastAsia="ja-JP"/>
        </w:rPr>
        <w:t xml:space="preserve"> for monitoring PDCCH. The search space used for these repetitions can be configured to have the same aggregation level and monitoring occasions. The UE makes </w:t>
      </w:r>
      <w:r>
        <w:rPr>
          <w:rStyle w:val="StrongEmphasis"/>
          <w:rFonts w:cs="Times New Roman" w:ascii="Times New Roman" w:hAnsi="Times New Roman"/>
          <w:b w:val="false"/>
          <w:bCs w:val="false"/>
          <w:lang w:eastAsia="ja-JP"/>
        </w:rPr>
        <w:t>two blind decoding attempts</w:t>
      </w:r>
      <w:r>
        <w:rPr>
          <w:rFonts w:cs="Times New Roman" w:ascii="Times New Roman" w:hAnsi="Times New Roman"/>
          <w:lang w:eastAsia="ja-JP"/>
        </w:rPr>
        <w:t xml:space="preserve"> at different monitoring occasions in the consecutive slots to extract the same DCI information.</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5:</w:t>
      </w:r>
      <w:r>
        <w:rPr>
          <w:rFonts w:cs="Times New Roman" w:ascii="Times New Roman" w:hAnsi="Times New Roman"/>
          <w:i/>
          <w:iCs/>
          <w:lang w:eastAsia="ja-JP"/>
        </w:rPr>
        <w:t xml:space="preserve"> The searchspacelinkingID can be used to link two search spaces for the PDCCH candidates which carry the same DCI information in the consecutive slots for Type0-PDCCH.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6:</w:t>
      </w:r>
      <w:r>
        <w:rPr>
          <w:rFonts w:cs="Times New Roman" w:ascii="Times New Roman" w:hAnsi="Times New Roman"/>
          <w:i/>
          <w:iCs/>
          <w:lang w:eastAsia="ja-JP"/>
        </w:rPr>
        <w:t xml:space="preserve"> The same search space configuration like aggregation level and monitoring occasions can be considered for Type0-PDCCH.</w:t>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System Level Enhancements</w:t>
      </w:r>
    </w:p>
    <w:p>
      <w:pPr>
        <w:pStyle w:val="Normal"/>
        <w:overflowPunct w:val="false"/>
        <w:snapToGrid w:val="false"/>
        <w:jc w:val="both"/>
        <w:textAlignment w:val="baseline"/>
        <w:rPr>
          <w:rFonts w:ascii="Times" w:hAnsi="Times" w:eastAsia="Batang"/>
          <w:highlight w:val="green"/>
          <w:lang w:eastAsia="x-none"/>
        </w:rPr>
      </w:pPr>
      <w:r>
        <w:rPr>
          <w:rFonts w:eastAsia="Batang" w:ascii="Times" w:hAnsi="Times"/>
          <w:highlight w:val="green"/>
          <w:lang w:eastAsia="x-none"/>
        </w:rPr>
      </w:r>
    </w:p>
    <w:p>
      <w:pPr>
        <w:pStyle w:val="Normal"/>
        <w:overflowPunct w:val="false"/>
        <w:snapToGrid w:val="false"/>
        <w:jc w:val="both"/>
        <w:textAlignment w:val="baseline"/>
        <w:rPr>
          <w:rFonts w:ascii="Times New Roman" w:hAnsi="Times New Roman"/>
        </w:rPr>
      </w:pPr>
      <w:r>
        <w:rPr>
          <w:rFonts w:eastAsia="Batang" w:cs="Times New Roman" w:ascii="Times" w:hAnsi="Times"/>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must be activated or deactivated.</w:t>
      </w:r>
    </w:p>
    <w:p>
      <w:pPr>
        <w:pStyle w:val="Normal"/>
        <w:tabs>
          <w:tab w:val="clear" w:pos="709"/>
          <w:tab w:val="left" w:pos="540" w:leader="none"/>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snapToGrid w:val="false"/>
        <w:jc w:val="both"/>
        <w:textAlignment w:val="baseline"/>
        <w:rPr/>
      </w:pPr>
      <w:r>
        <w:rPr>
          <w:rFonts w:eastAsia="Batang" w:cs="Times New Roman" w:ascii="Times" w:hAnsi="Times"/>
          <w:lang w:eastAsia="x-none"/>
        </w:rPr>
        <w:t>Rel-18 NES techniques also consider that some of the channels/signals can be transmitted in the non-active period of cell DTX/DRX. But for NTN scenario, only SSB transmission can happen in the non-active period of cell DTX. Multiple DTX/DRX patterns can be supported for a single beam, and beams can also be activated based on on-demand SSB/SIB1 transmissions. The configuration for DTX/DRX can be communicated to the UE via group common signaling.</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7: </w:t>
      </w:r>
      <w:r>
        <w:rPr>
          <w:rFonts w:eastAsia="Batang" w:cs="Times New Roman" w:ascii="Times" w:hAnsi="Times"/>
          <w:i/>
          <w:iCs/>
          <w:color w:val="000000"/>
          <w:lang w:eastAsia="x-none"/>
        </w:rPr>
        <w:t>Support Cell DRX/DTX to turn ON/OFF the beams as a system level enhancement to improve the DL coverage for Rel-19 NR NTN. Rel-18 NES DRX/DTX mechanism should be modified for NTN specific scenarios as follows.</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DTX/DRX can be beam-specific rather than cell-specific</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SSB transmission should not be affected</w:t>
      </w:r>
    </w:p>
    <w:p>
      <w:pPr>
        <w:pStyle w:val="Normal"/>
        <w:numPr>
          <w:ilvl w:val="0"/>
          <w:numId w:val="2"/>
        </w:numPr>
        <w:tabs>
          <w:tab w:val="clear" w:pos="709"/>
          <w:tab w:val="left" w:pos="540" w:leader="none"/>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Proposal 8:</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9: </w:t>
      </w:r>
      <w:r>
        <w:rPr>
          <w:rFonts w:eastAsia="Batang" w:cs="Times New Roman" w:ascii="Times" w:hAnsi="Times"/>
          <w:i/>
          <w:iCs/>
          <w:color w:val="000000"/>
          <w:lang w:eastAsia="x-none"/>
        </w:rPr>
        <w:t>Study the signalling of beam-specific DTX/DRX configurations via DCI, either by introducing a new DCI or modifying the existing DCI format.</w:t>
      </w:r>
    </w:p>
    <w:p>
      <w:pPr>
        <w:pStyle w:val="Normal"/>
        <w:tabs>
          <w:tab w:val="clear" w:pos="709"/>
          <w:tab w:val="left" w:pos="1985" w:leader="none"/>
        </w:tabs>
        <w:overflowPunct w:val="false"/>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rPr/>
      </w:pPr>
      <w:r>
        <w:rPr/>
      </w:r>
    </w:p>
    <w:p>
      <w:pPr>
        <w:pStyle w:val="Heading1"/>
        <w:numPr>
          <w:ilvl w:val="0"/>
          <w:numId w:val="1"/>
        </w:numPr>
        <w:pBdr>
          <w:top w:val="single" w:sz="4" w:space="1" w:color="000000"/>
        </w:pBdr>
        <w:tabs>
          <w:tab w:val="clear" w:pos="709"/>
          <w:tab w:val="left" w:pos="2345" w:leader="none"/>
        </w:tabs>
        <w:overflowPunct w:val="false"/>
        <w:snapToGrid w:val="false"/>
        <w:ind w:start="360" w:hanging="360"/>
        <w:jc w:val="both"/>
        <w:textAlignment w:val="baseline"/>
        <w:rPr>
          <w:rFonts w:ascii="Times New Roman" w:hAnsi="Times New Roman" w:cs="Times New Roman"/>
          <w:b/>
          <w:b/>
          <w:bCs/>
        </w:rPr>
      </w:pPr>
      <w:r>
        <w:rPr>
          <w:rFonts w:cs="Times New Roman" w:ascii="Times New Roman" w:hAnsi="Times New Roman"/>
          <w:b/>
          <w:bCs/>
        </w:rPr>
        <w:t>Conclusion</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 xml:space="preserve">This contribution includes the specification impacts on link and system level enhancements. </w:t>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b/>
          <w:bCs/>
          <w:i/>
          <w:iCs/>
        </w:rPr>
        <w:t xml:space="preserve">Proposal 1: </w:t>
      </w:r>
      <w:r>
        <w:rPr>
          <w:rFonts w:cs="Times New Roman" w:ascii="Times New Roman" w:hAnsi="Times New Roman"/>
          <w:i/>
          <w:iCs/>
        </w:rPr>
        <w:t>At least two repetitions can be considered to reduce the coverage gap for PDCCH at least for CSS.</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sz w:val="20"/>
        </w:rPr>
      </w:pPr>
      <w:r>
        <w:rPr>
          <w:rFonts w:cs="Times New Roman" w:ascii="Times New Roman" w:hAnsi="Times New Roman"/>
          <w:b/>
          <w:bCs/>
          <w:i/>
          <w:iCs/>
          <w:lang w:eastAsia="ja-JP"/>
        </w:rPr>
        <w:t>Proposal 2:</w:t>
      </w:r>
      <w:r>
        <w:rPr>
          <w:rFonts w:cs="Times New Roman" w:ascii="Times New Roman" w:hAnsi="Times New Roman"/>
          <w:i/>
          <w:iCs/>
          <w:lang w:eastAsia="ja-JP"/>
        </w:rPr>
        <w:t xml:space="preserve"> Intra slot repetition can be considered for PDCCH repetition for the minimum latency. </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3:</w:t>
      </w:r>
      <w:r>
        <w:rPr>
          <w:rFonts w:cs="Times New Roman" w:ascii="Times New Roman" w:hAnsi="Times New Roman"/>
          <w:i/>
          <w:iCs/>
          <w:lang w:eastAsia="ja-JP"/>
        </w:rPr>
        <w:t xml:space="preserve"> The number of repetitions for Type0-PDCCH can be shared with UE through MIB using a reserved bit. </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4: </w:t>
      </w:r>
      <w:r>
        <w:rPr>
          <w:rFonts w:cs="Times New Roman" w:ascii="Times New Roman" w:hAnsi="Times New Roman"/>
          <w:i/>
          <w:iCs/>
          <w:lang w:eastAsia="ja-JP"/>
        </w:rPr>
        <w:t>The CORESETs for the two PDCCH repetition can be scheduled in the consecutive slots with same configuration for Type0-PDCCH.</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5:</w:t>
      </w:r>
      <w:r>
        <w:rPr>
          <w:rFonts w:cs="Times New Roman" w:ascii="Times New Roman" w:hAnsi="Times New Roman"/>
          <w:i/>
          <w:iCs/>
          <w:lang w:eastAsia="ja-JP"/>
        </w:rPr>
        <w:t xml:space="preserve"> The searchspacelinkingID can be used to link two search spaces for the PDCCH candidates which carry the same DCI information in the consecutive slots for Type0-PDCCH.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Proposal 6:</w:t>
      </w:r>
      <w:r>
        <w:rPr>
          <w:rFonts w:cs="Times New Roman" w:ascii="Times New Roman" w:hAnsi="Times New Roman"/>
          <w:i/>
          <w:iCs/>
          <w:lang w:eastAsia="ja-JP"/>
        </w:rPr>
        <w:t xml:space="preserve"> The same search space configuration like aggregation level and monitoring occasions can be considered for Type0-PDCCH.</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7: </w:t>
      </w:r>
      <w:r>
        <w:rPr>
          <w:rFonts w:eastAsia="Batang" w:cs="Times New Roman" w:ascii="Times" w:hAnsi="Times"/>
          <w:i/>
          <w:iCs/>
          <w:color w:val="000000"/>
          <w:lang w:eastAsia="x-none"/>
        </w:rPr>
        <w:t>Support Cell DRX/DTX to turn ON/OFF the beams as a system level enhancement to improve the DL coverage for Rel-19 NR NTN. Rel-18 NES DRX/DTX mechanism should be modified for NTN specific scenarios as follows.</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DTX/DRX can be beam-specific rather than cell-specific</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SSB transmission should not be affected</w:t>
      </w:r>
    </w:p>
    <w:p>
      <w:pPr>
        <w:pStyle w:val="Normal"/>
        <w:numPr>
          <w:ilvl w:val="0"/>
          <w:numId w:val="2"/>
        </w:numPr>
        <w:tabs>
          <w:tab w:val="clear" w:pos="709"/>
          <w:tab w:val="left" w:pos="540" w:leader="none"/>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Proposal 8:</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snapToGrid w:val="false"/>
        <w:ind w:end="-441" w:hanging="0"/>
        <w:jc w:val="both"/>
        <w:textAlignment w:val="baseline"/>
        <w:rPr>
          <w:rFonts w:ascii="Times" w:hAnsi="Times" w:eastAsia="Batang" w:cs="Times New Roman"/>
          <w:i/>
          <w:i/>
          <w:iCs/>
          <w:color w:val="000000"/>
          <w:lang w:eastAsia="x-none"/>
        </w:rPr>
      </w:pPr>
      <w:r>
        <w:rPr>
          <w:rFonts w:eastAsia="Batang" w:cs="Times New Roman" w:ascii="Times" w:hAnsi="Times"/>
          <w:b/>
          <w:bCs/>
          <w:i/>
          <w:iCs/>
          <w:color w:val="000000"/>
          <w:lang w:eastAsia="x-none"/>
        </w:rPr>
        <w:t>Proposal 9:</w:t>
      </w:r>
      <w:r>
        <w:rPr>
          <w:rFonts w:eastAsia="Batang" w:cs="Times New Roman" w:ascii="Times" w:hAnsi="Times"/>
          <w:i/>
          <w:iCs/>
          <w:color w:val="000000"/>
          <w:lang w:eastAsia="x-none"/>
        </w:rPr>
        <w:t xml:space="preserve"> Study the signalling of beam-specific DTX/DRX configurations via DCI, either by introducing a new DCI or modifying the existing DCI format.</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overflowPunct w:val="false"/>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Heading1"/>
        <w:numPr>
          <w:ilvl w:val="0"/>
          <w:numId w:val="1"/>
        </w:numPr>
        <w:pBdr>
          <w:top w:val="single" w:sz="4" w:space="1" w:color="000000"/>
        </w:pBdr>
        <w:ind w:start="360" w:hanging="360"/>
        <w:jc w:val="both"/>
        <w:rPr>
          <w:rFonts w:ascii="Times New Roman" w:hAnsi="Times New Roman" w:cs="Times New Roman"/>
        </w:rPr>
      </w:pPr>
      <w:r>
        <w:rPr>
          <w:rFonts w:cs="Times New Roman" w:ascii="Times New Roman" w:hAnsi="Times New Roman"/>
        </w:rPr>
        <w:t>References</w:t>
      </w:r>
    </w:p>
    <w:p>
      <w:pPr>
        <w:pStyle w:val="Normal"/>
        <w:pBdr>
          <w:top w:val="single" w:sz="4" w:space="1" w:color="000000"/>
        </w:pBdr>
        <w:ind w:start="360" w:hanging="360"/>
        <w:jc w:val="both"/>
        <w:rPr>
          <w:rFonts w:ascii="Times New Roman" w:hAnsi="Times New Roman" w:cs="Times New Roman"/>
        </w:rPr>
      </w:pPr>
      <w:r>
        <w:rPr>
          <w:rFonts w:cs="Times New Roman" w:ascii="Times New Roman" w:hAnsi="Times New Roman"/>
        </w:rPr>
      </w:r>
    </w:p>
    <w:p>
      <w:pPr>
        <w:pStyle w:val="ListParagraph"/>
        <w:numPr>
          <w:ilvl w:val="0"/>
          <w:numId w:val="3"/>
        </w:numPr>
        <w:tabs>
          <w:tab w:val="clear" w:pos="709"/>
          <w:tab w:val="left" w:pos="2705" w:leader="none"/>
        </w:tabs>
        <w:ind w:start="720" w:end="-441" w:hanging="360"/>
        <w:jc w:val="both"/>
        <w:rPr/>
      </w:pPr>
      <w:r>
        <w:rPr>
          <w:rFonts w:eastAsia="Batang;바탕" w:cs="Times New Roman" w:ascii="Times New Roman" w:hAnsi="Times New Roman"/>
          <w:sz w:val="22"/>
          <w:szCs w:val="22"/>
        </w:rPr>
        <w:t>RP-234078, “</w:t>
      </w:r>
      <w:r>
        <w:rPr>
          <w:rFonts w:eastAsia="Batang;바탕" w:cs="Times New Roman" w:ascii="Times New Roman" w:hAnsi="Times New Roman"/>
          <w:bCs/>
          <w:sz w:val="22"/>
          <w:szCs w:val="22"/>
          <w:lang w:val="en-GB"/>
        </w:rPr>
        <w:t>New WID: Non-Terrestrial Networks (NTN) for NR Phase 3</w:t>
      </w:r>
      <w:r>
        <w:rPr>
          <w:rFonts w:eastAsia="Batang;바탕" w:cs="Times New Roman" w:ascii="Times New Roman" w:hAnsi="Times New Roman"/>
          <w:sz w:val="22"/>
          <w:szCs w:val="22"/>
        </w:rPr>
        <w:t>,” RAN#102, Dec. 2023.</w:t>
      </w:r>
    </w:p>
    <w:p>
      <w:pPr>
        <w:pStyle w:val="EX"/>
        <w:numPr>
          <w:ilvl w:val="0"/>
          <w:numId w:val="3"/>
        </w:numPr>
        <w:jc w:val="both"/>
        <w:rPr>
          <w:rFonts w:ascii="Times New Roman" w:hAnsi="Times New Roman" w:cs="Times New Roman"/>
          <w:sz w:val="22"/>
          <w:szCs w:val="22"/>
        </w:rPr>
      </w:pPr>
      <w:r>
        <w:rPr>
          <w:rFonts w:cs="Times New Roman" w:ascii="Times New Roman" w:hAnsi="Times New Roman"/>
          <w:sz w:val="22"/>
          <w:szCs w:val="22"/>
        </w:rPr>
        <w:t>3GPP TR 38.811 v15.2.0: "Study on New Radio (NR) to support non-terrestrial networks (Release 15)".</w:t>
      </w:r>
    </w:p>
    <w:p>
      <w:pPr>
        <w:pStyle w:val="ListParagraph"/>
        <w:keepLines/>
        <w:numPr>
          <w:ilvl w:val="0"/>
          <w:numId w:val="3"/>
        </w:numPr>
        <w:tabs>
          <w:tab w:val="clear" w:pos="709"/>
          <w:tab w:val="left" w:pos="1985" w:leader="none"/>
        </w:tabs>
        <w:jc w:val="both"/>
        <w:rPr/>
      </w:pPr>
      <w:r>
        <w:rPr>
          <w:rFonts w:cs="Times New Roman" w:ascii="Times New Roman" w:hAnsi="Times New Roman"/>
          <w:sz w:val="22"/>
          <w:szCs w:val="22"/>
        </w:rPr>
        <w:t>3GPP TR 38.821: “</w:t>
      </w:r>
      <w:r>
        <w:rPr>
          <w:rFonts w:cs="Times New Roman" w:ascii="Times New Roman" w:hAnsi="Times New Roman"/>
          <w:sz w:val="22"/>
          <w:szCs w:val="22"/>
          <w:lang w:eastAsia="ja-JP"/>
        </w:rPr>
        <w:t>Solutions for NR to support non-terrestrial networks (NTN)</w:t>
      </w:r>
      <w:r>
        <w:rPr>
          <w:rFonts w:cs="Times New Roman" w:ascii="Times New Roman" w:hAnsi="Times New Roman"/>
          <w:sz w:val="22"/>
          <w:szCs w:val="22"/>
        </w:rPr>
        <w:t xml:space="preserve"> (Release 16)”. </w:t>
      </w:r>
    </w:p>
    <w:p>
      <w:pPr>
        <w:pStyle w:val="ListParagraph"/>
        <w:numPr>
          <w:ilvl w:val="0"/>
          <w:numId w:val="3"/>
        </w:numPr>
        <w:tabs>
          <w:tab w:val="clear" w:pos="709"/>
          <w:tab w:val="left" w:pos="2705" w:leader="none"/>
        </w:tabs>
        <w:ind w:start="720" w:end="-441" w:hanging="360"/>
        <w:jc w:val="both"/>
        <w:rPr/>
      </w:pPr>
      <w:r>
        <w:rPr>
          <w:rFonts w:cs="Times New Roman" w:ascii="Times New Roman" w:hAnsi="Times New Roman"/>
          <w:sz w:val="22"/>
          <w:szCs w:val="22"/>
        </w:rPr>
        <w:t xml:space="preserve">Chair notes RAN1#119 eom0, </w:t>
      </w:r>
      <w:r>
        <w:rPr>
          <w:rFonts w:eastAsia="Batang;바탕" w:cs="Times New Roman" w:ascii="Times New Roman" w:hAnsi="Times New Roman"/>
          <w:sz w:val="22"/>
          <w:szCs w:val="22"/>
        </w:rPr>
        <w:t>RAN1#119, Nov. 2024.</w:t>
      </w:r>
    </w:p>
    <w:p>
      <w:pPr>
        <w:pStyle w:val="CRCoverPage"/>
        <w:numPr>
          <w:ilvl w:val="0"/>
          <w:numId w:val="3"/>
        </w:numPr>
        <w:tabs>
          <w:tab w:val="clear" w:pos="709"/>
          <w:tab w:val="right" w:pos="10359" w:leader="none"/>
        </w:tabs>
        <w:spacing w:before="0" w:after="0"/>
        <w:ind w:start="720" w:end="-441" w:hanging="360"/>
        <w:jc w:val="both"/>
        <w:rPr>
          <w:rFonts w:ascii="Times  New roman" w:hAnsi="Times  New roman"/>
        </w:rPr>
      </w:pPr>
      <w:r>
        <w:rPr>
          <w:rFonts w:eastAsia="Batang;바탕" w:cs="Times New Roman" w:ascii="Times  New roman" w:hAnsi="Times  New roman"/>
          <w:sz w:val="22"/>
          <w:szCs w:val="22"/>
          <w:lang w:val="en-IN" w:eastAsia="en-IN"/>
        </w:rPr>
        <w:t>RP-</w:t>
      </w:r>
      <w:r>
        <w:rPr>
          <w:rFonts w:eastAsia="Batang;바탕" w:cs="Times New Roman" w:ascii="Times  New roman" w:hAnsi="Times  New roman"/>
          <w:szCs w:val="22"/>
          <w:lang w:val="en-IN" w:eastAsia="en-IN"/>
        </w:rPr>
        <w:t>243300</w:t>
      </w:r>
      <w:r>
        <w:rPr>
          <w:rFonts w:eastAsia="Batang;바탕" w:cs="Times New Roman" w:ascii="Times  New roman" w:hAnsi="Times  New roman"/>
          <w:sz w:val="22"/>
          <w:szCs w:val="22"/>
          <w:lang w:val="en-IN" w:eastAsia="en-IN"/>
        </w:rPr>
        <w:t>, “</w:t>
      </w:r>
      <w:r>
        <w:rPr>
          <w:rFonts w:eastAsia="Batang;바탕" w:ascii="Times  New roman" w:hAnsi="Times  New roman"/>
          <w:sz w:val="22"/>
          <w:szCs w:val="22"/>
          <w:lang w:val="en-IN"/>
        </w:rPr>
        <w:t>Revised WID: Non-Terrestrial Networks (NTN) for NR Phase 3,</w:t>
      </w:r>
      <w:r>
        <w:rPr>
          <w:rFonts w:eastAsia="Batang;바탕" w:cs="Times New Roman" w:ascii="Times  New roman" w:hAnsi="Times  New roman"/>
          <w:sz w:val="22"/>
          <w:szCs w:val="22"/>
          <w:lang w:val="en-IN" w:eastAsia="en-IN"/>
        </w:rPr>
        <w:t>” RAN#106, Dec. 2024.</w:t>
      </w:r>
    </w:p>
    <w:p>
      <w:pPr>
        <w:pStyle w:val="Normal"/>
        <w:tabs>
          <w:tab w:val="clear" w:pos="709"/>
          <w:tab w:val="left" w:pos="1985" w:leader="none"/>
        </w:tabs>
        <w:ind w:end="-441" w:hanging="0"/>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rPr>
      </w:pPr>
      <w:r>
        <w:rPr>
          <w:rFonts w:cs="Times New Roman" w:ascii="Times New Roman" w:hAnsi="Times New Roman"/>
        </w:rPr>
        <w:t xml:space="preserve"> </w:t>
      </w:r>
    </w:p>
    <w:p>
      <w:pPr>
        <w:pStyle w:val="Normal"/>
        <w:jc w:val="both"/>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Symbol">
    <w:charset w:val="01" w:characterSet="utf-8"/>
    <w:family w:val="roman"/>
    <w:pitch w:val="variable"/>
  </w:font>
  <w:font w:name="Courier New">
    <w:charset w:val="01" w:characterSet="utf-8"/>
    <w:family w:val="roman"/>
    <w:pitch w:val="variable"/>
  </w:font>
  <w:font w:name="Wingdings">
    <w:charset w:val="01" w:characterSet="utf-8"/>
    <w:family w:val="roman"/>
    <w:pitch w:val="variable"/>
  </w:font>
  <w:font w:name="Arial">
    <w:charset w:val="01" w:characterSet="utf-8"/>
    <w:family w:val="roman"/>
    <w:pitch w:val="variable"/>
  </w:font>
  <w:font w:name="Times New Roman">
    <w:charset w:val="01" w:characterSet="utf-8"/>
    <w:family w:val="roman"/>
    <w:pitch w:val="variable"/>
  </w:font>
  <w:font w:name="Liberation Sans">
    <w:altName w:val="Arial"/>
    <w:charset w:val="01" w:characterSet="utf-8"/>
    <w:family w:val="roman"/>
    <w:pitch w:val="variable"/>
  </w:font>
  <w:font w:name="Calibri">
    <w:charset w:val="01" w:characterSet="utf-8"/>
    <w:family w:val="roman"/>
    <w:pitch w:val="variable"/>
  </w:font>
  <w:font w:name="Lohit Devanagari">
    <w:charset w:val="01" w:characterSet="utf-8"/>
    <w:family w:val="roman"/>
    <w:pitch w:val="variable"/>
  </w:font>
  <w:font w:name="Noto Sans">
    <w:charset w:val="01" w:characterSet="utf-8"/>
    <w:family w:val="roman"/>
    <w:pitch w:val="variable"/>
  </w:font>
  <w:font w:name="Times">
    <w:altName w:val="Times New Roman"/>
    <w:charset w:val="01" w:characterSet="utf-8"/>
    <w:family w:val="roman"/>
    <w:pitch w:val="variable"/>
  </w:font>
  <w:font w:name="Times  New roman">
    <w:charset w:val="01" w:characterSet="utf-8"/>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Police système">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bullet"/>
      <w:lvlText w:val="-"/>
      <w:lvlJc w:val="start"/>
      <w:pPr>
        <w:tabs>
          <w:tab w:val="num" w:pos="0"/>
        </w:tabs>
        <w:ind w:start="360" w:hanging="360"/>
      </w:pPr>
      <w:rPr>
        <w:rFonts w:ascii="Police système" w:hAnsi="Police système" w:cs="Police système" w:hint="default"/>
      </w:rPr>
    </w:lvl>
    <w:lvl w:ilvl="1">
      <w:start w:val="1"/>
      <w:numFmt w:val="bullet"/>
      <w:lvlText w:val="o"/>
      <w:lvlJc w:val="start"/>
      <w:pPr>
        <w:tabs>
          <w:tab w:val="num" w:pos="0"/>
        </w:tabs>
        <w:ind w:start="1080" w:hanging="360"/>
      </w:pPr>
      <w:rPr>
        <w:rFonts w:ascii="Courier New" w:hAnsi="Courier New" w:cs="Courier New" w:hint="default"/>
      </w:rPr>
    </w:lvl>
    <w:lvl w:ilvl="2">
      <w:start w:val="1"/>
      <w:numFmt w:val="bullet"/>
      <w:lvlText w:val=""/>
      <w:lvlJc w:val="start"/>
      <w:pPr>
        <w:tabs>
          <w:tab w:val="num" w:pos="0"/>
        </w:tabs>
        <w:ind w:start="1800" w:hanging="360"/>
      </w:pPr>
      <w:rPr>
        <w:rFonts w:ascii="Wingdings" w:hAnsi="Wingdings" w:cs="Wingdings" w:hint="default"/>
      </w:rPr>
    </w:lvl>
    <w:lvl w:ilvl="3">
      <w:start w:val="1"/>
      <w:numFmt w:val="bullet"/>
      <w:lvlText w:val=""/>
      <w:lvlJc w:val="start"/>
      <w:pPr>
        <w:tabs>
          <w:tab w:val="num" w:pos="0"/>
        </w:tabs>
        <w:ind w:start="2520" w:hanging="360"/>
      </w:pPr>
      <w:rPr>
        <w:rFonts w:ascii="Symbol" w:hAnsi="Symbol" w:cs="Symbol" w:hint="default"/>
      </w:rPr>
    </w:lvl>
    <w:lvl w:ilvl="4">
      <w:start w:val="1"/>
      <w:numFmt w:val="bullet"/>
      <w:lvlText w:val="o"/>
      <w:lvlJc w:val="start"/>
      <w:pPr>
        <w:tabs>
          <w:tab w:val="num" w:pos="0"/>
        </w:tabs>
        <w:ind w:start="3240" w:hanging="360"/>
      </w:pPr>
      <w:rPr>
        <w:rFonts w:ascii="Courier New" w:hAnsi="Courier New" w:cs="Courier New" w:hint="default"/>
      </w:rPr>
    </w:lvl>
    <w:lvl w:ilvl="5">
      <w:start w:val="1"/>
      <w:numFmt w:val="bullet"/>
      <w:lvlText w:val=""/>
      <w:lvlJc w:val="start"/>
      <w:pPr>
        <w:tabs>
          <w:tab w:val="num" w:pos="0"/>
        </w:tabs>
        <w:ind w:start="3960" w:hanging="360"/>
      </w:pPr>
      <w:rPr>
        <w:rFonts w:ascii="Wingdings" w:hAnsi="Wingdings" w:cs="Wingdings" w:hint="default"/>
      </w:rPr>
    </w:lvl>
    <w:lvl w:ilvl="6">
      <w:start w:val="1"/>
      <w:numFmt w:val="bullet"/>
      <w:lvlText w:val=""/>
      <w:lvlJc w:val="start"/>
      <w:pPr>
        <w:tabs>
          <w:tab w:val="num" w:pos="0"/>
        </w:tabs>
        <w:ind w:start="4680" w:hanging="360"/>
      </w:pPr>
      <w:rPr>
        <w:rFonts w:ascii="Symbol" w:hAnsi="Symbol" w:cs="Symbol" w:hint="default"/>
      </w:rPr>
    </w:lvl>
    <w:lvl w:ilvl="7">
      <w:start w:val="1"/>
      <w:numFmt w:val="bullet"/>
      <w:lvlText w:val="o"/>
      <w:lvlJc w:val="start"/>
      <w:pPr>
        <w:tabs>
          <w:tab w:val="num" w:pos="0"/>
        </w:tabs>
        <w:ind w:start="5400" w:hanging="360"/>
      </w:pPr>
      <w:rPr>
        <w:rFonts w:ascii="Courier New" w:hAnsi="Courier New" w:cs="Courier New" w:hint="default"/>
      </w:rPr>
    </w:lvl>
    <w:lvl w:ilvl="8">
      <w:start w:val="1"/>
      <w:numFmt w:val="bullet"/>
      <w:lvlText w:val=""/>
      <w:lvlJc w:val="start"/>
      <w:pPr>
        <w:tabs>
          <w:tab w:val="num" w:pos="0"/>
        </w:tabs>
        <w:ind w:start="6120" w:hanging="360"/>
      </w:pPr>
      <w:rPr>
        <w:rFonts w:ascii="Wingdings" w:hAnsi="Wingdings" w:cs="Wingdings" w:hint="default"/>
      </w:rPr>
    </w:lvl>
  </w:abstractNum>
  <w:abstractNum w:abstractNumId="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spacing w:before="40" w:after="0"/>
      <w:outlineLvl w:val="1"/>
    </w:pPr>
    <w:rPr>
      <w:rFonts w:cs="Mangal"/>
      <w:color w:val="0F4761"/>
      <w:sz w:val="26"/>
      <w:szCs w:val="23"/>
    </w:rPr>
  </w:style>
  <w:style w:type="character" w:styleId="DefaultParagraphFont" w:default="1">
    <w:name w:val="Default Paragraph Font"/>
    <w:uiPriority w:val="1"/>
    <w:semiHidden/>
    <w:unhideWhenUsed/>
    <w:qFormat/>
    <w:rPr/>
  </w:style>
  <w:style w:type="character" w:styleId="Uiprovider" w:customStyle="1">
    <w:name w:val="ui-provider"/>
    <w:qFormat/>
    <w:rPr/>
  </w:style>
  <w:style w:type="character" w:styleId="Bullets" w:customStyle="1">
    <w:name w:val="Bullets"/>
    <w:qFormat/>
    <w:rPr>
      <w:rFonts w:ascii="OpenSymbol" w:hAnsi="OpenSymbol" w:eastAsia="OpenSymbol" w:cs="OpenSymbol"/>
    </w:rPr>
  </w:style>
  <w:style w:type="character" w:styleId="WW8Num15z0" w:customStyle="1">
    <w:name w:val="WW8Num15z0"/>
    <w:qFormat/>
    <w:rPr>
      <w:rFonts w:ascii="Symbol" w:hAnsi="Symbol" w:cs="Symbol"/>
      <w:sz w:val="20"/>
      <w:szCs w:val="20"/>
    </w:rPr>
  </w:style>
  <w:style w:type="character" w:styleId="WW8Num15z1" w:customStyle="1">
    <w:name w:val="WW8Num15z1"/>
    <w:qFormat/>
    <w:rPr>
      <w:rFonts w:ascii="Courier New" w:hAnsi="Courier New" w:cs="Courier New"/>
      <w:sz w:val="20"/>
      <w:szCs w:val="20"/>
    </w:rPr>
  </w:style>
  <w:style w:type="character" w:styleId="WW8Num15z2" w:customStyle="1">
    <w:name w:val="WW8Num15z2"/>
    <w:qFormat/>
    <w:rPr>
      <w:rFonts w:ascii="Wingdings" w:hAnsi="Wingdings" w:cs="Wingdings"/>
      <w:sz w:val="20"/>
    </w:rPr>
  </w:style>
  <w:style w:type="character" w:styleId="WW8Num27z0" w:customStyle="1">
    <w:name w:val="WW8Num27z0"/>
    <w:qFormat/>
    <w:rPr>
      <w:rFonts w:eastAsia="Calibri"/>
      <w:lang w:val="en-US" w:eastAsia="ko-KR"/>
    </w:rPr>
  </w:style>
  <w:style w:type="character" w:styleId="WW8Num27z1" w:customStyle="1">
    <w:name w:val="WW8Num27z1"/>
    <w:qFormat/>
    <w:rPr>
      <w:rFonts w:ascii="Arial" w:hAnsi="Arial" w:cs="Arial"/>
    </w:rPr>
  </w:style>
  <w:style w:type="character" w:styleId="WW8Num27z2" w:customStyle="1">
    <w:name w:val="WW8Num27z2"/>
    <w:qFormat/>
    <w:rPr>
      <w:rFonts w:ascii="Times New Roman" w:hAnsi="Times New Roman" w:eastAsia="SimSun;宋体" w:cs="Times New Roman"/>
    </w:rPr>
  </w:style>
  <w:style w:type="character" w:styleId="WW8Num27z3" w:customStyle="1">
    <w:name w:val="WW8Num27z3"/>
    <w:qFormat/>
    <w:rPr>
      <w:rFonts w:ascii="Wingdings" w:hAnsi="Wingdings" w:cs="Wingdings"/>
    </w:rPr>
  </w:style>
  <w:style w:type="character" w:styleId="StrongEmphasis" w:customStyle="1">
    <w:name w:val="Strong Emphasis"/>
    <w:qFormat/>
    <w:rPr>
      <w:b/>
      <w:bCs/>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Paragraphedeliste" w:customStyle="1">
    <w:name w:val="Paragraphe de liste"/>
    <w:basedOn w:val="Normal"/>
    <w:qFormat/>
    <w:pPr>
      <w:overflowPunct w:val="false"/>
      <w:spacing w:lineRule="auto" w:line="276" w:before="0" w:after="200"/>
      <w:ind w:start="720" w:hanging="0"/>
      <w:contextualSpacing/>
    </w:pPr>
    <w:rPr>
      <w:rFonts w:ascii="Calibri" w:hAnsi="Calibri" w:eastAsia="Calibri" w:cs="Calibri"/>
      <w:sz w:val="22"/>
      <w:szCs w:val="22"/>
      <w:lang w:val="en-US"/>
    </w:rPr>
  </w:style>
  <w:style w:type="paragraph" w:styleId="B1" w:customStyle="1">
    <w:name w:val="B1"/>
    <w:basedOn w:val="List"/>
    <w:qFormat/>
    <w:pPr/>
    <w:rPr/>
  </w:style>
  <w:style w:type="paragraph" w:styleId="EX" w:customStyle="1">
    <w:name w:val="EX"/>
    <w:basedOn w:val="Normal"/>
    <w:qFormat/>
    <w:pPr>
      <w:keepLines/>
      <w:ind w:start="1702" w:hanging="1418"/>
    </w:pPr>
    <w:rPr/>
  </w:style>
  <w:style w:type="paragraph" w:styleId="CRCoverPage" w:customStyle="1">
    <w:name w:val="CR Cover Page"/>
    <w:qFormat/>
    <w:pPr>
      <w:widowControl/>
      <w:suppressAutoHyphens w:val="true"/>
      <w:overflowPunct w:val="true"/>
      <w:bidi w:val="0"/>
      <w:spacing w:before="0" w:after="120"/>
      <w:jc w:val="start"/>
    </w:pPr>
    <w:rPr>
      <w:rFonts w:ascii="Arial" w:hAnsi="Arial" w:eastAsia="SimSun;宋体" w:cs="Arial"/>
      <w:color w:val="auto"/>
      <w:kern w:val="2"/>
      <w:sz w:val="24"/>
      <w:szCs w:val="20"/>
      <w:lang w:val="en-GB" w:bidi="ar-SA" w:eastAsia="zh-CN"/>
    </w:rPr>
  </w:style>
  <w:style w:type="paragraph" w:styleId="Default" w:customStyle="1">
    <w:name w:val="Default"/>
    <w:qFormat/>
    <w:pPr>
      <w:widowControl/>
      <w:suppressAutoHyphens w:val="true"/>
      <w:overflowPunct w:val="true"/>
      <w:bidi w:val="0"/>
      <w:spacing w:lineRule="atLeast" w:line="200" w:before="0" w:after="0"/>
      <w:jc w:val="start"/>
    </w:pPr>
    <w:rPr>
      <w:rFonts w:ascii="Lohit Devanagari" w:hAnsi="Lohit Devanagari" w:eastAsia="DejaVu Sans" w:cs="Arial"/>
      <w:color w:val="auto"/>
      <w:kern w:val="2"/>
      <w:sz w:val="36"/>
      <w:szCs w:val="24"/>
      <w:lang w:val="en-IN" w:eastAsia="zh-CN" w:bidi="hi-IN"/>
    </w:rPr>
  </w:style>
  <w:style w:type="paragraph" w:styleId="Objectwithoutfill" w:customStyle="1">
    <w:name w:val="Object without fill"/>
    <w:basedOn w:val="Default"/>
    <w:qFormat/>
    <w:pPr/>
    <w:rPr/>
  </w:style>
  <w:style w:type="paragraph" w:styleId="Objectwithnofillandnoline" w:customStyle="1">
    <w:name w:val="Object with no fill and no line"/>
    <w:basedOn w:val="Default"/>
    <w:qFormat/>
    <w:pPr/>
    <w:rPr/>
  </w:style>
  <w:style w:type="paragraph" w:styleId="A4" w:customStyle="1">
    <w:name w:val="A4"/>
    <w:basedOn w:val="Text"/>
    <w:qFormat/>
    <w:pPr/>
    <w:rPr>
      <w:rFonts w:ascii="Noto Sans" w:hAnsi="Noto Sans"/>
      <w:sz w:val="36"/>
    </w:rPr>
  </w:style>
  <w:style w:type="paragraph" w:styleId="Text" w:customStyle="1">
    <w:name w:val="Text"/>
    <w:basedOn w:val="Caption1"/>
    <w:qFormat/>
    <w:pPr/>
    <w:rPr/>
  </w:style>
  <w:style w:type="paragraph" w:styleId="TitleA4" w:customStyle="1">
    <w:name w:val="Title A4"/>
    <w:basedOn w:val="A4"/>
    <w:qFormat/>
    <w:pPr/>
    <w:rPr>
      <w:sz w:val="87"/>
    </w:rPr>
  </w:style>
  <w:style w:type="paragraph" w:styleId="HeadingA4" w:customStyle="1">
    <w:name w:val="Heading A4"/>
    <w:basedOn w:val="A4"/>
    <w:qFormat/>
    <w:pPr/>
    <w:rPr>
      <w:sz w:val="48"/>
    </w:rPr>
  </w:style>
  <w:style w:type="paragraph" w:styleId="TextA4" w:customStyle="1">
    <w:name w:val="Text A4"/>
    <w:basedOn w:val="A4"/>
    <w:qFormat/>
    <w:pPr/>
    <w:rPr/>
  </w:style>
  <w:style w:type="paragraph" w:styleId="A0" w:customStyle="1">
    <w:name w:val="A0"/>
    <w:basedOn w:val="Text"/>
    <w:qFormat/>
    <w:pPr/>
    <w:rPr>
      <w:rFonts w:ascii="Noto Sans" w:hAnsi="Noto Sans"/>
      <w:sz w:val="95"/>
    </w:rPr>
  </w:style>
  <w:style w:type="paragraph" w:styleId="TitleA0" w:customStyle="1">
    <w:name w:val="Title A0"/>
    <w:basedOn w:val="A0"/>
    <w:qFormat/>
    <w:pPr/>
    <w:rPr>
      <w:sz w:val="191"/>
    </w:rPr>
  </w:style>
  <w:style w:type="paragraph" w:styleId="HeadingA0" w:customStyle="1">
    <w:name w:val="Heading A0"/>
    <w:basedOn w:val="A0"/>
    <w:qFormat/>
    <w:pPr/>
    <w:rPr>
      <w:sz w:val="143"/>
    </w:rPr>
  </w:style>
  <w:style w:type="paragraph" w:styleId="TextA0" w:customStyle="1">
    <w:name w:val="Text A0"/>
    <w:basedOn w:val="A0"/>
    <w:qFormat/>
    <w:pPr/>
    <w:rPr/>
  </w:style>
  <w:style w:type="paragraph" w:styleId="Graphic" w:customStyle="1">
    <w:name w:val="Graphic"/>
    <w:qFormat/>
    <w:pPr>
      <w:widowControl/>
      <w:suppressAutoHyphens w:val="true"/>
      <w:overflowPunct w:val="true"/>
      <w:bidi w:val="0"/>
      <w:spacing w:before="0" w:after="0"/>
      <w:jc w:val="start"/>
    </w:pPr>
    <w:rPr>
      <w:rFonts w:ascii="Liberation Sans" w:hAnsi="Liberation Sans" w:eastAsia="DejaVu Sans" w:cs="Arial"/>
      <w:color w:val="auto"/>
      <w:kern w:val="2"/>
      <w:sz w:val="36"/>
      <w:szCs w:val="24"/>
      <w:lang w:val="en-IN" w:eastAsia="zh-CN" w:bidi="hi-IN"/>
    </w:rPr>
  </w:style>
  <w:style w:type="paragraph" w:styleId="Shapes" w:customStyle="1">
    <w:name w:val="Shapes"/>
    <w:basedOn w:val="Graphic"/>
    <w:qFormat/>
    <w:pPr/>
    <w:rPr>
      <w:b/>
      <w:sz w:val="28"/>
    </w:rPr>
  </w:style>
  <w:style w:type="paragraph" w:styleId="Filled" w:customStyle="1">
    <w:name w:val="Filled"/>
    <w:basedOn w:val="Shapes"/>
    <w:qFormat/>
    <w:pPr/>
    <w:rPr/>
  </w:style>
  <w:style w:type="paragraph" w:styleId="FilledBlue" w:customStyle="1">
    <w:name w:val="Filled Blue"/>
    <w:basedOn w:val="Filled"/>
    <w:qFormat/>
    <w:pPr/>
    <w:rPr>
      <w:color w:val="FFFFFF"/>
    </w:rPr>
  </w:style>
  <w:style w:type="paragraph" w:styleId="FilledGreen" w:customStyle="1">
    <w:name w:val="Filled Green"/>
    <w:basedOn w:val="Filled"/>
    <w:qFormat/>
    <w:pPr/>
    <w:rPr>
      <w:color w:val="FFFFFF"/>
    </w:rPr>
  </w:style>
  <w:style w:type="paragraph" w:styleId="FilledRed" w:customStyle="1">
    <w:name w:val="Filled Red"/>
    <w:basedOn w:val="Filled"/>
    <w:qFormat/>
    <w:pPr/>
    <w:rPr>
      <w:color w:val="FFFFFF"/>
    </w:rPr>
  </w:style>
  <w:style w:type="paragraph" w:styleId="FilledYellow" w:customStyle="1">
    <w:name w:val="Filled Yellow"/>
    <w:basedOn w:val="Filled"/>
    <w:qFormat/>
    <w:pPr/>
    <w:rPr>
      <w:color w:val="FFFFFF"/>
    </w:rPr>
  </w:style>
  <w:style w:type="paragraph" w:styleId="Outlined" w:customStyle="1">
    <w:name w:val="Outlined"/>
    <w:basedOn w:val="Shapes"/>
    <w:qFormat/>
    <w:pPr/>
    <w:rPr/>
  </w:style>
  <w:style w:type="paragraph" w:styleId="OutlinedBlue" w:customStyle="1">
    <w:name w:val="Outlined Blue"/>
    <w:basedOn w:val="Outlined"/>
    <w:qFormat/>
    <w:pPr/>
    <w:rPr>
      <w:color w:val="355269"/>
    </w:rPr>
  </w:style>
  <w:style w:type="paragraph" w:styleId="OutlinedGreen" w:customStyle="1">
    <w:name w:val="Outlined Green"/>
    <w:basedOn w:val="Outlined"/>
    <w:qFormat/>
    <w:pPr/>
    <w:rPr>
      <w:color w:val="127622"/>
    </w:rPr>
  </w:style>
  <w:style w:type="paragraph" w:styleId="OutlinedRed" w:customStyle="1">
    <w:name w:val="Outlined Red"/>
    <w:basedOn w:val="Outlined"/>
    <w:qFormat/>
    <w:pPr/>
    <w:rPr>
      <w:color w:val="C9211E"/>
    </w:rPr>
  </w:style>
  <w:style w:type="paragraph" w:styleId="OutlinedYellow" w:customStyle="1">
    <w:name w:val="Outlined Yellow"/>
    <w:basedOn w:val="Outlined"/>
    <w:qFormat/>
    <w:pPr/>
    <w:rPr>
      <w:color w:val="B47804"/>
    </w:rPr>
  </w:style>
  <w:style w:type="paragraph" w:styleId="Lines" w:customStyle="1">
    <w:name w:val="Lines"/>
    <w:basedOn w:val="Graphic"/>
    <w:qFormat/>
    <w:pPr/>
    <w:rPr/>
  </w:style>
  <w:style w:type="paragraph" w:styleId="ArrowLine" w:customStyle="1">
    <w:name w:val="Arrow Line"/>
    <w:basedOn w:val="Lines"/>
    <w:qFormat/>
    <w:pPr/>
    <w:rPr/>
  </w:style>
  <w:style w:type="paragraph" w:styleId="DashedLine" w:customStyle="1">
    <w:name w:val="Dashed Line"/>
    <w:basedOn w:val="Lines"/>
    <w:qFormat/>
    <w:pPr/>
    <w:rPr/>
  </w:style>
  <w:style w:type="paragraph" w:styleId="TitleSlideLTGliederung1" w:customStyle="1">
    <w:name w:val="Title Slide~LT~Gliederung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TitleSlideLTGliederung2" w:customStyle="1">
    <w:name w:val="Title Slide~LT~Gliederung 2"/>
    <w:basedOn w:val="TitleSlideLTGliederung1"/>
    <w:qFormat/>
    <w:pPr>
      <w:spacing w:before="227" w:after="0"/>
    </w:pPr>
    <w:rPr>
      <w:sz w:val="40"/>
    </w:rPr>
  </w:style>
  <w:style w:type="paragraph" w:styleId="TitleSlideLTGliederung3" w:customStyle="1">
    <w:name w:val="Title Slide~LT~Gliederung 3"/>
    <w:basedOn w:val="TitleSlideLTGliederung2"/>
    <w:qFormat/>
    <w:pPr>
      <w:spacing w:before="170" w:after="0"/>
    </w:pPr>
    <w:rPr>
      <w:sz w:val="36"/>
    </w:rPr>
  </w:style>
  <w:style w:type="paragraph" w:styleId="TitleSlideLTGliederung4" w:customStyle="1">
    <w:name w:val="Title Slide~LT~Gliederung 4"/>
    <w:basedOn w:val="TitleSlideLTGliederung3"/>
    <w:qFormat/>
    <w:pPr>
      <w:spacing w:before="113" w:after="0"/>
    </w:pPr>
    <w:rPr>
      <w:sz w:val="32"/>
    </w:rPr>
  </w:style>
  <w:style w:type="paragraph" w:styleId="TitleSlideLTGliederung5" w:customStyle="1">
    <w:name w:val="Title Slide~LT~Gliederung 5"/>
    <w:basedOn w:val="TitleSlideLTGliederung4"/>
    <w:qFormat/>
    <w:pPr>
      <w:spacing w:before="57" w:after="0"/>
    </w:pPr>
    <w:rPr>
      <w:sz w:val="40"/>
    </w:rPr>
  </w:style>
  <w:style w:type="paragraph" w:styleId="TitleSlideLTGliederung6" w:customStyle="1">
    <w:name w:val="Title Slide~LT~Gliederung 6"/>
    <w:basedOn w:val="TitleSlideLTGliederung5"/>
    <w:qFormat/>
    <w:pPr/>
    <w:rPr/>
  </w:style>
  <w:style w:type="paragraph" w:styleId="TitleSlideLTGliederung7" w:customStyle="1">
    <w:name w:val="Title Slide~LT~Gliederung 7"/>
    <w:basedOn w:val="TitleSlideLTGliederung6"/>
    <w:qFormat/>
    <w:pPr/>
    <w:rPr/>
  </w:style>
  <w:style w:type="paragraph" w:styleId="TitleSlideLTGliederung8" w:customStyle="1">
    <w:name w:val="Title Slide~LT~Gliederung 8"/>
    <w:basedOn w:val="TitleSlideLTGliederung7"/>
    <w:qFormat/>
    <w:pPr/>
    <w:rPr/>
  </w:style>
  <w:style w:type="paragraph" w:styleId="TitleSlideLTGliederung9" w:customStyle="1">
    <w:name w:val="Title Slide~LT~Gliederung 9"/>
    <w:basedOn w:val="TitleSlideLTGliederung8"/>
    <w:qFormat/>
    <w:pPr/>
    <w:rPr/>
  </w:style>
  <w:style w:type="paragraph" w:styleId="TitleSlideLTTitel" w:customStyle="1">
    <w:name w:val="Title Slide~LT~Titel"/>
    <w:qFormat/>
    <w:pPr>
      <w:widowControl/>
      <w:suppressAutoHyphens w:val="true"/>
      <w:overflowPunct w:val="true"/>
      <w:bidi w:val="0"/>
      <w:spacing w:lineRule="atLeast" w:line="200" w:before="0" w:after="0"/>
      <w:jc w:val="start"/>
    </w:pPr>
    <w:rPr>
      <w:rFonts w:ascii="Arial" w:hAnsi="Arial" w:eastAsia="DejaVu Sans" w:cs="Arial"/>
      <w:color w:val="000000"/>
      <w:kern w:val="2"/>
      <w:sz w:val="48"/>
      <w:szCs w:val="24"/>
      <w:lang w:val="en-IN" w:eastAsia="zh-CN" w:bidi="hi-IN"/>
    </w:rPr>
  </w:style>
  <w:style w:type="paragraph" w:styleId="TitleSlideLTUntertitel" w:customStyle="1">
    <w:name w:val="Title Slide~LT~Untertitel"/>
    <w:qFormat/>
    <w:pPr>
      <w:widowControl/>
      <w:suppressAutoHyphens w:val="true"/>
      <w:overflowPunct w:val="true"/>
      <w:bidi w:val="0"/>
      <w:spacing w:before="0" w:after="0"/>
      <w:jc w:val="center"/>
    </w:pPr>
    <w:rPr>
      <w:rFonts w:ascii="Lohit Devanagari" w:hAnsi="Lohit Devanagari" w:eastAsia="DejaVu Sans" w:cs="Arial"/>
      <w:color w:val="auto"/>
      <w:kern w:val="2"/>
      <w:sz w:val="64"/>
      <w:szCs w:val="24"/>
      <w:lang w:val="en-IN" w:eastAsia="zh-CN" w:bidi="hi-IN"/>
    </w:rPr>
  </w:style>
  <w:style w:type="paragraph" w:styleId="TitleSlideLTNotizen" w:customStyle="1">
    <w:name w:val="Title Slide~LT~Notizen"/>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TitleSlideLTHintergrundobjekte" w:customStyle="1">
    <w:name w:val="Title Slide~LT~Hintergrundobjekte"/>
    <w:qFormat/>
    <w:pPr>
      <w:widowControl/>
      <w:suppressAutoHyphens w:val="true"/>
      <w:overflowPunct w:val="true"/>
      <w:bidi w:val="0"/>
      <w:spacing w:before="0" w:after="0"/>
      <w:jc w:val="start"/>
    </w:pPr>
    <w:rPr>
      <w:rFonts w:eastAsia="DejaVu Sans" w:cs="Arial" w:ascii="Liberation Serif" w:hAnsi="Liberation Serif"/>
      <w:color w:val="auto"/>
      <w:kern w:val="2"/>
      <w:sz w:val="24"/>
      <w:szCs w:val="24"/>
      <w:lang w:val="en-IN" w:eastAsia="zh-CN" w:bidi="hi-IN"/>
    </w:rPr>
  </w:style>
  <w:style w:type="paragraph" w:styleId="TitleSlideLTHintergrund" w:customStyle="1">
    <w:name w:val="Title Slide~LT~Hintergrund"/>
    <w:qFormat/>
    <w:pPr>
      <w:widowControl/>
      <w:suppressAutoHyphens w:val="true"/>
      <w:overflowPunct w:val="true"/>
      <w:bidi w:val="0"/>
      <w:spacing w:before="0" w:after="0"/>
      <w:jc w:val="start"/>
    </w:pPr>
    <w:rPr>
      <w:rFonts w:eastAsia="DejaVu Sans" w:cs="Arial" w:ascii="Liberation Serif" w:hAnsi="Liberation Serif"/>
      <w:color w:val="auto"/>
      <w:kern w:val="2"/>
      <w:sz w:val="24"/>
      <w:szCs w:val="24"/>
      <w:lang w:val="en-IN" w:eastAsia="zh-CN" w:bidi="hi-IN"/>
    </w:rPr>
  </w:style>
  <w:style w:type="paragraph" w:styleId="Default1" w:customStyle="1">
    <w:name w:val="default"/>
    <w:qFormat/>
    <w:pPr>
      <w:widowControl/>
      <w:suppressAutoHyphens w:val="true"/>
      <w:overflowPunct w:val="true"/>
      <w:bidi w:val="0"/>
      <w:spacing w:lineRule="atLeast" w:line="200" w:before="0" w:after="0"/>
      <w:jc w:val="start"/>
    </w:pPr>
    <w:rPr>
      <w:rFonts w:ascii="Lohit Devanagari" w:hAnsi="Lohit Devanagari" w:eastAsia="DejaVu Sans" w:cs="Arial"/>
      <w:color w:val="auto"/>
      <w:kern w:val="2"/>
      <w:sz w:val="36"/>
      <w:szCs w:val="24"/>
      <w:lang w:val="en-IN" w:eastAsia="zh-CN" w:bidi="hi-IN"/>
    </w:rPr>
  </w:style>
  <w:style w:type="paragraph" w:styleId="Gray1" w:customStyle="1">
    <w:name w:val="gray1"/>
    <w:basedOn w:val="Default1"/>
    <w:qFormat/>
    <w:pPr/>
    <w:rPr/>
  </w:style>
  <w:style w:type="paragraph" w:styleId="Gray2" w:customStyle="1">
    <w:name w:val="gray2"/>
    <w:basedOn w:val="Default1"/>
    <w:qFormat/>
    <w:pPr/>
    <w:rPr/>
  </w:style>
  <w:style w:type="paragraph" w:styleId="Gray3" w:customStyle="1">
    <w:name w:val="gray3"/>
    <w:basedOn w:val="Default1"/>
    <w:qFormat/>
    <w:pPr/>
    <w:rPr/>
  </w:style>
  <w:style w:type="paragraph" w:styleId="Bw1" w:customStyle="1">
    <w:name w:val="bw1"/>
    <w:basedOn w:val="Default1"/>
    <w:qFormat/>
    <w:pPr/>
    <w:rPr/>
  </w:style>
  <w:style w:type="paragraph" w:styleId="Bw2" w:customStyle="1">
    <w:name w:val="bw2"/>
    <w:basedOn w:val="Default1"/>
    <w:qFormat/>
    <w:pPr/>
    <w:rPr/>
  </w:style>
  <w:style w:type="paragraph" w:styleId="Bw3" w:customStyle="1">
    <w:name w:val="bw3"/>
    <w:basedOn w:val="Default1"/>
    <w:qFormat/>
    <w:pPr/>
    <w:rPr/>
  </w:style>
  <w:style w:type="paragraph" w:styleId="Orange1" w:customStyle="1">
    <w:name w:val="orange1"/>
    <w:basedOn w:val="Default1"/>
    <w:qFormat/>
    <w:pPr/>
    <w:rPr/>
  </w:style>
  <w:style w:type="paragraph" w:styleId="Orange2" w:customStyle="1">
    <w:name w:val="orange2"/>
    <w:basedOn w:val="Default1"/>
    <w:qFormat/>
    <w:pPr/>
    <w:rPr/>
  </w:style>
  <w:style w:type="paragraph" w:styleId="Orange3" w:customStyle="1">
    <w:name w:val="orange3"/>
    <w:basedOn w:val="Default1"/>
    <w:qFormat/>
    <w:pPr/>
    <w:rPr/>
  </w:style>
  <w:style w:type="paragraph" w:styleId="Turquoise1" w:customStyle="1">
    <w:name w:val="turquoise1"/>
    <w:basedOn w:val="Default1"/>
    <w:qFormat/>
    <w:pPr/>
    <w:rPr/>
  </w:style>
  <w:style w:type="paragraph" w:styleId="Turquoise2" w:customStyle="1">
    <w:name w:val="turquoise2"/>
    <w:basedOn w:val="Default1"/>
    <w:qFormat/>
    <w:pPr/>
    <w:rPr/>
  </w:style>
  <w:style w:type="paragraph" w:styleId="Turquoise3" w:customStyle="1">
    <w:name w:val="turquoise3"/>
    <w:basedOn w:val="Default1"/>
    <w:qFormat/>
    <w:pPr/>
    <w:rPr/>
  </w:style>
  <w:style w:type="paragraph" w:styleId="Blue1" w:customStyle="1">
    <w:name w:val="blue1"/>
    <w:basedOn w:val="Default1"/>
    <w:qFormat/>
    <w:pPr/>
    <w:rPr/>
  </w:style>
  <w:style w:type="paragraph" w:styleId="Blue2" w:customStyle="1">
    <w:name w:val="blue2"/>
    <w:basedOn w:val="Default1"/>
    <w:qFormat/>
    <w:pPr/>
    <w:rPr/>
  </w:style>
  <w:style w:type="paragraph" w:styleId="Blue3" w:customStyle="1">
    <w:name w:val="blue3"/>
    <w:basedOn w:val="Default1"/>
    <w:qFormat/>
    <w:pPr/>
    <w:rPr/>
  </w:style>
  <w:style w:type="paragraph" w:styleId="Sun1" w:customStyle="1">
    <w:name w:val="sun1"/>
    <w:basedOn w:val="Default1"/>
    <w:qFormat/>
    <w:pPr/>
    <w:rPr/>
  </w:style>
  <w:style w:type="paragraph" w:styleId="Sun2" w:customStyle="1">
    <w:name w:val="sun2"/>
    <w:basedOn w:val="Default1"/>
    <w:qFormat/>
    <w:pPr/>
    <w:rPr/>
  </w:style>
  <w:style w:type="paragraph" w:styleId="Sun3" w:customStyle="1">
    <w:name w:val="sun3"/>
    <w:basedOn w:val="Default1"/>
    <w:qFormat/>
    <w:pPr/>
    <w:rPr/>
  </w:style>
  <w:style w:type="paragraph" w:styleId="Earth1" w:customStyle="1">
    <w:name w:val="earth1"/>
    <w:basedOn w:val="Default1"/>
    <w:qFormat/>
    <w:pPr/>
    <w:rPr/>
  </w:style>
  <w:style w:type="paragraph" w:styleId="Earth2" w:customStyle="1">
    <w:name w:val="earth2"/>
    <w:basedOn w:val="Default1"/>
    <w:qFormat/>
    <w:pPr/>
    <w:rPr/>
  </w:style>
  <w:style w:type="paragraph" w:styleId="Earth3" w:customStyle="1">
    <w:name w:val="earth3"/>
    <w:basedOn w:val="Default1"/>
    <w:qFormat/>
    <w:pPr/>
    <w:rPr/>
  </w:style>
  <w:style w:type="paragraph" w:styleId="Green1" w:customStyle="1">
    <w:name w:val="green1"/>
    <w:basedOn w:val="Default1"/>
    <w:qFormat/>
    <w:pPr/>
    <w:rPr/>
  </w:style>
  <w:style w:type="paragraph" w:styleId="Green2" w:customStyle="1">
    <w:name w:val="green2"/>
    <w:basedOn w:val="Default1"/>
    <w:qFormat/>
    <w:pPr/>
    <w:rPr/>
  </w:style>
  <w:style w:type="paragraph" w:styleId="Green3" w:customStyle="1">
    <w:name w:val="green3"/>
    <w:basedOn w:val="Default1"/>
    <w:qFormat/>
    <w:pPr/>
    <w:rPr/>
  </w:style>
  <w:style w:type="paragraph" w:styleId="Seetang1" w:customStyle="1">
    <w:name w:val="seetang1"/>
    <w:basedOn w:val="Default1"/>
    <w:qFormat/>
    <w:pPr/>
    <w:rPr/>
  </w:style>
  <w:style w:type="paragraph" w:styleId="Seetang2" w:customStyle="1">
    <w:name w:val="seetang2"/>
    <w:basedOn w:val="Default1"/>
    <w:qFormat/>
    <w:pPr/>
    <w:rPr/>
  </w:style>
  <w:style w:type="paragraph" w:styleId="Seetang3" w:customStyle="1">
    <w:name w:val="seetang3"/>
    <w:basedOn w:val="Default1"/>
    <w:qFormat/>
    <w:pPr/>
    <w:rPr/>
  </w:style>
  <w:style w:type="paragraph" w:styleId="Lightblue1" w:customStyle="1">
    <w:name w:val="lightblue1"/>
    <w:basedOn w:val="Default1"/>
    <w:qFormat/>
    <w:pPr/>
    <w:rPr/>
  </w:style>
  <w:style w:type="paragraph" w:styleId="Lightblue2" w:customStyle="1">
    <w:name w:val="lightblue2"/>
    <w:basedOn w:val="Default1"/>
    <w:qFormat/>
    <w:pPr/>
    <w:rPr/>
  </w:style>
  <w:style w:type="paragraph" w:styleId="Lightblue3" w:customStyle="1">
    <w:name w:val="lightblue3"/>
    <w:basedOn w:val="Default1"/>
    <w:qFormat/>
    <w:pPr/>
    <w:rPr/>
  </w:style>
  <w:style w:type="paragraph" w:styleId="Yellow1" w:customStyle="1">
    <w:name w:val="yellow1"/>
    <w:basedOn w:val="Default1"/>
    <w:qFormat/>
    <w:pPr/>
    <w:rPr/>
  </w:style>
  <w:style w:type="paragraph" w:styleId="Yellow2" w:customStyle="1">
    <w:name w:val="yellow2"/>
    <w:basedOn w:val="Default1"/>
    <w:qFormat/>
    <w:pPr/>
    <w:rPr/>
  </w:style>
  <w:style w:type="paragraph" w:styleId="Yellow3" w:customStyle="1">
    <w:name w:val="yellow3"/>
    <w:basedOn w:val="Default1"/>
    <w:qFormat/>
    <w:pPr/>
    <w:rPr/>
  </w:style>
  <w:style w:type="paragraph" w:styleId="Backgroundobjects" w:customStyle="1">
    <w:name w:val="Background objects"/>
    <w:qFormat/>
    <w:pPr>
      <w:widowControl/>
      <w:suppressAutoHyphens w:val="true"/>
      <w:overflowPunct w:val="true"/>
      <w:bidi w:val="0"/>
      <w:spacing w:before="0" w:after="0"/>
      <w:jc w:val="start"/>
    </w:pPr>
    <w:rPr>
      <w:rFonts w:eastAsia="DejaVu Sans" w:cs="Arial" w:ascii="Liberation Serif" w:hAnsi="Liberation Serif"/>
      <w:color w:val="auto"/>
      <w:kern w:val="2"/>
      <w:sz w:val="24"/>
      <w:szCs w:val="24"/>
      <w:lang w:val="en-IN" w:eastAsia="zh-CN" w:bidi="hi-IN"/>
    </w:rPr>
  </w:style>
  <w:style w:type="paragraph" w:styleId="Background" w:customStyle="1">
    <w:name w:val="Background"/>
    <w:qFormat/>
    <w:pPr>
      <w:widowControl/>
      <w:suppressAutoHyphens w:val="true"/>
      <w:overflowPunct w:val="true"/>
      <w:bidi w:val="0"/>
      <w:spacing w:before="0" w:after="0"/>
      <w:jc w:val="start"/>
    </w:pPr>
    <w:rPr>
      <w:rFonts w:eastAsia="DejaVu Sans" w:cs="Arial" w:ascii="Liberation Serif" w:hAnsi="Liberation Serif"/>
      <w:color w:val="auto"/>
      <w:kern w:val="2"/>
      <w:sz w:val="24"/>
      <w:szCs w:val="24"/>
      <w:lang w:val="en-IN" w:eastAsia="zh-CN" w:bidi="hi-IN"/>
    </w:rPr>
  </w:style>
  <w:style w:type="paragraph" w:styleId="Notes" w:customStyle="1">
    <w:name w:val="Notes"/>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Outline1" w:customStyle="1">
    <w:name w:val="Outline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Outline2" w:customStyle="1">
    <w:name w:val="Outline 2"/>
    <w:basedOn w:val="Outline1"/>
    <w:qFormat/>
    <w:pPr>
      <w:spacing w:before="227" w:after="0"/>
    </w:pPr>
    <w:rPr>
      <w:sz w:val="40"/>
    </w:rPr>
  </w:style>
  <w:style w:type="paragraph" w:styleId="Outline3" w:customStyle="1">
    <w:name w:val="Outline 3"/>
    <w:basedOn w:val="Outline2"/>
    <w:qFormat/>
    <w:pPr>
      <w:spacing w:before="170" w:after="0"/>
    </w:pPr>
    <w:rPr>
      <w:sz w:val="36"/>
    </w:rPr>
  </w:style>
  <w:style w:type="paragraph" w:styleId="Outline4" w:customStyle="1">
    <w:name w:val="Outline 4"/>
    <w:basedOn w:val="Outline3"/>
    <w:qFormat/>
    <w:pPr>
      <w:spacing w:before="113" w:after="0"/>
    </w:pPr>
    <w:rPr>
      <w:sz w:val="32"/>
    </w:rPr>
  </w:style>
  <w:style w:type="paragraph" w:styleId="Outline5" w:customStyle="1">
    <w:name w:val="Outline 5"/>
    <w:basedOn w:val="Outline4"/>
    <w:qFormat/>
    <w:pPr>
      <w:spacing w:before="57" w:after="0"/>
    </w:pPr>
    <w:rPr>
      <w:sz w:val="40"/>
    </w:rPr>
  </w:style>
  <w:style w:type="paragraph" w:styleId="Outline6" w:customStyle="1">
    <w:name w:val="Outline 6"/>
    <w:basedOn w:val="Outline5"/>
    <w:qFormat/>
    <w:pPr/>
    <w:rPr/>
  </w:style>
  <w:style w:type="paragraph" w:styleId="Outline7" w:customStyle="1">
    <w:name w:val="Outline 7"/>
    <w:basedOn w:val="Outline6"/>
    <w:qFormat/>
    <w:pPr/>
    <w:rPr/>
  </w:style>
  <w:style w:type="paragraph" w:styleId="Outline8" w:customStyle="1">
    <w:name w:val="Outline 8"/>
    <w:basedOn w:val="Outline7"/>
    <w:qFormat/>
    <w:pPr/>
    <w:rPr/>
  </w:style>
  <w:style w:type="paragraph" w:styleId="Outline9" w:customStyle="1">
    <w:name w:val="Outline 9"/>
    <w:basedOn w:val="Outline8"/>
    <w:qFormat/>
    <w:pPr/>
    <w:rPr/>
  </w:style>
  <w:style w:type="paragraph" w:styleId="TitleandContentLTGliederung1" w:customStyle="1">
    <w:name w:val="Title and Content~LT~Gliederung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TitleandContentLTGliederung2" w:customStyle="1">
    <w:name w:val="Title and Content~LT~Gliederung 2"/>
    <w:basedOn w:val="TitleandContentLTGliederung1"/>
    <w:qFormat/>
    <w:pPr>
      <w:spacing w:before="227" w:after="0"/>
    </w:pPr>
    <w:rPr>
      <w:sz w:val="40"/>
    </w:rPr>
  </w:style>
  <w:style w:type="paragraph" w:styleId="TitleandContentLTGliederung3" w:customStyle="1">
    <w:name w:val="Title and Content~LT~Gliederung 3"/>
    <w:basedOn w:val="TitleandContentLTGliederung2"/>
    <w:qFormat/>
    <w:pPr>
      <w:spacing w:before="170" w:after="0"/>
    </w:pPr>
    <w:rPr>
      <w:sz w:val="36"/>
    </w:rPr>
  </w:style>
  <w:style w:type="paragraph" w:styleId="TitleandContentLTGliederung4" w:customStyle="1">
    <w:name w:val="Title and Content~LT~Gliederung 4"/>
    <w:basedOn w:val="TitleandContentLTGliederung3"/>
    <w:qFormat/>
    <w:pPr>
      <w:spacing w:before="113" w:after="0"/>
    </w:pPr>
    <w:rPr>
      <w:sz w:val="32"/>
    </w:rPr>
  </w:style>
  <w:style w:type="paragraph" w:styleId="TitleandContentLTGliederung5" w:customStyle="1">
    <w:name w:val="Title and Content~LT~Gliederung 5"/>
    <w:basedOn w:val="TitleandContentLTGliederung4"/>
    <w:qFormat/>
    <w:pPr>
      <w:spacing w:before="57" w:after="0"/>
    </w:pPr>
    <w:rPr>
      <w:sz w:val="40"/>
    </w:rPr>
  </w:style>
  <w:style w:type="paragraph" w:styleId="TitleandContentLTGliederung6" w:customStyle="1">
    <w:name w:val="Title and Content~LT~Gliederung 6"/>
    <w:basedOn w:val="TitleandContentLTGliederung5"/>
    <w:qFormat/>
    <w:pPr/>
    <w:rPr/>
  </w:style>
  <w:style w:type="paragraph" w:styleId="TitleandContentLTGliederung7" w:customStyle="1">
    <w:name w:val="Title and Content~LT~Gliederung 7"/>
    <w:basedOn w:val="TitleandContentLTGliederung6"/>
    <w:qFormat/>
    <w:pPr/>
    <w:rPr/>
  </w:style>
  <w:style w:type="paragraph" w:styleId="TitleandContentLTGliederung8" w:customStyle="1">
    <w:name w:val="Title and Content~LT~Gliederung 8"/>
    <w:basedOn w:val="TitleandContentLTGliederung7"/>
    <w:qFormat/>
    <w:pPr/>
    <w:rPr/>
  </w:style>
  <w:style w:type="paragraph" w:styleId="TitleandContentLTGliederung9" w:customStyle="1">
    <w:name w:val="Title and Content~LT~Gliederung 9"/>
    <w:basedOn w:val="TitleandContentLTGliederung8"/>
    <w:qFormat/>
    <w:pPr/>
    <w:rPr/>
  </w:style>
  <w:style w:type="paragraph" w:styleId="TitleandContentLTTitel" w:customStyle="1">
    <w:name w:val="Title and Content~LT~Titel"/>
    <w:qFormat/>
    <w:pPr>
      <w:widowControl/>
      <w:suppressAutoHyphens w:val="true"/>
      <w:overflowPunct w:val="true"/>
      <w:bidi w:val="0"/>
      <w:spacing w:lineRule="atLeast" w:line="200" w:before="0" w:after="0"/>
      <w:jc w:val="start"/>
    </w:pPr>
    <w:rPr>
      <w:rFonts w:ascii="Arial" w:hAnsi="Arial" w:eastAsia="DejaVu Sans" w:cs="Arial"/>
      <w:color w:val="000000"/>
      <w:kern w:val="2"/>
      <w:sz w:val="48"/>
      <w:szCs w:val="24"/>
      <w:lang w:val="en-IN" w:eastAsia="zh-CN" w:bidi="hi-IN"/>
    </w:rPr>
  </w:style>
  <w:style w:type="paragraph" w:styleId="TitleandContentLTUntertitel" w:customStyle="1">
    <w:name w:val="Title and Content~LT~Untertitel"/>
    <w:qFormat/>
    <w:pPr>
      <w:widowControl/>
      <w:suppressAutoHyphens w:val="true"/>
      <w:overflowPunct w:val="true"/>
      <w:bidi w:val="0"/>
      <w:spacing w:before="0" w:after="0"/>
      <w:jc w:val="center"/>
    </w:pPr>
    <w:rPr>
      <w:rFonts w:ascii="Lohit Devanagari" w:hAnsi="Lohit Devanagari" w:eastAsia="DejaVu Sans" w:cs="Arial"/>
      <w:color w:val="auto"/>
      <w:kern w:val="2"/>
      <w:sz w:val="64"/>
      <w:szCs w:val="24"/>
      <w:lang w:val="en-IN" w:eastAsia="zh-CN" w:bidi="hi-IN"/>
    </w:rPr>
  </w:style>
  <w:style w:type="paragraph" w:styleId="TitleandContentLTNotizen" w:customStyle="1">
    <w:name w:val="Title and Content~LT~Notizen"/>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TitleandContentLTHintergrundobjekte" w:customStyle="1">
    <w:name w:val="Title and Content~LT~Hintergrundobjekte"/>
    <w:qFormat/>
    <w:pPr>
      <w:widowControl/>
      <w:suppressAutoHyphens w:val="true"/>
      <w:overflowPunct w:val="true"/>
      <w:bidi w:val="0"/>
      <w:spacing w:before="0" w:after="0"/>
      <w:jc w:val="start"/>
    </w:pPr>
    <w:rPr>
      <w:rFonts w:eastAsia="DejaVu Sans" w:cs="Arial" w:ascii="Liberation Serif" w:hAnsi="Liberation Serif"/>
      <w:color w:val="auto"/>
      <w:kern w:val="2"/>
      <w:sz w:val="24"/>
      <w:szCs w:val="24"/>
      <w:lang w:val="en-IN" w:eastAsia="zh-CN" w:bidi="hi-IN"/>
    </w:rPr>
  </w:style>
  <w:style w:type="paragraph" w:styleId="TitleandContentLTHintergrund" w:customStyle="1">
    <w:name w:val="Title and Content~LT~Hintergrund"/>
    <w:qFormat/>
    <w:pPr>
      <w:widowControl/>
      <w:suppressAutoHyphens w:val="true"/>
      <w:overflowPunct w:val="true"/>
      <w:bidi w:val="0"/>
      <w:spacing w:before="0" w:after="0"/>
      <w:jc w:val="start"/>
    </w:pPr>
    <w:rPr>
      <w:rFonts w:eastAsia="DejaVu Sans" w:cs="Arial" w:ascii="Liberation Serif" w:hAnsi="Liberation Serif"/>
      <w:color w:val="auto"/>
      <w:kern w:val="2"/>
      <w:sz w:val="24"/>
      <w:szCs w:val="24"/>
      <w:lang w:val="en-IN" w:eastAsia="zh-CN" w:bidi="hi-IN"/>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WW8Num15" w:customStyle="1">
    <w:name w:val="WW8Num15"/>
    <w:qFormat/>
  </w:style>
  <w:style w:type="numbering" w:styleId="WW8Num27" w:customStyle="1">
    <w:name w:val="WW8Num27"/>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2463</TotalTime>
  <Application>LibreOffice/6.4.7.2$Linux_X86_64 LibreOffice_project/40$Build-2</Application>
  <Pages>5</Pages>
  <Words>1995</Words>
  <Characters>10678</Characters>
  <CharactersWithSpaces>12550</CharactersWithSpaces>
  <Paragraphs>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2024-10-01T10:06:30Z</dcterms:created>
  <dc:creator/>
  <dc:description/>
  <dc:language>en-IN</dc:language>
  <cp:lastModifiedBy/>
  <dcterms:modified xsi:type="dcterms:W3CDTF">2025-02-07T18:43:43Z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